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997" w:rsidRDefault="005B0997" w:rsidP="00717A7A">
      <w:pPr>
        <w:jc w:val="center"/>
      </w:pPr>
    </w:p>
    <w:tbl>
      <w:tblPr>
        <w:tblW w:w="0" w:type="auto"/>
        <w:jc w:val="center"/>
        <w:tblCellMar>
          <w:left w:w="0" w:type="dxa"/>
          <w:right w:w="0" w:type="dxa"/>
        </w:tblCellMar>
        <w:tblLook w:val="04A0" w:firstRow="1" w:lastRow="0" w:firstColumn="1" w:lastColumn="0" w:noHBand="0" w:noVBand="1"/>
      </w:tblPr>
      <w:tblGrid>
        <w:gridCol w:w="3786"/>
        <w:gridCol w:w="5207"/>
        <w:gridCol w:w="5011"/>
      </w:tblGrid>
      <w:tr w:rsidR="00717A7A" w:rsidTr="00717A7A">
        <w:trPr>
          <w:jc w:val="center"/>
        </w:trPr>
        <w:tc>
          <w:tcPr>
            <w:tcW w:w="5953" w:type="dxa"/>
            <w:tcMar>
              <w:top w:w="0" w:type="dxa"/>
              <w:left w:w="108" w:type="dxa"/>
              <w:bottom w:w="0" w:type="dxa"/>
              <w:right w:w="108" w:type="dxa"/>
            </w:tcMar>
          </w:tcPr>
          <w:p w:rsidR="00717A7A" w:rsidRDefault="00717A7A">
            <w:pPr>
              <w:rPr>
                <w:rFonts w:ascii="Constantia" w:hAnsi="Constantia"/>
                <w:b/>
                <w:bCs/>
                <w:color w:val="002368"/>
                <w:sz w:val="24"/>
                <w:szCs w:val="24"/>
              </w:rPr>
            </w:pPr>
          </w:p>
          <w:p w:rsidR="00717A7A" w:rsidRDefault="00717A7A">
            <w:pPr>
              <w:jc w:val="center"/>
              <w:rPr>
                <w:rFonts w:ascii="Constantia" w:hAnsi="Constantia"/>
                <w:b/>
                <w:bCs/>
                <w:color w:val="002368"/>
                <w:sz w:val="24"/>
                <w:szCs w:val="24"/>
              </w:rPr>
            </w:pPr>
            <w:r>
              <w:rPr>
                <w:rFonts w:ascii="Constantia" w:hAnsi="Constantia"/>
                <w:b/>
                <w:bCs/>
                <w:noProof/>
                <w:color w:val="002368"/>
                <w:sz w:val="24"/>
                <w:szCs w:val="24"/>
                <w:lang w:eastAsia="fr-FR"/>
              </w:rPr>
              <w:drawing>
                <wp:inline distT="0" distB="0" distL="0" distR="0">
                  <wp:extent cx="1733550" cy="1343025"/>
                  <wp:effectExtent l="0" t="0" r="0" b="9525"/>
                  <wp:docPr id="3" name="Image 3" descr="cid:image002.jpg@01D425C4.C88C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id:image002.jpg@01D425C4.C88C699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733550" cy="1343025"/>
                          </a:xfrm>
                          <a:prstGeom prst="rect">
                            <a:avLst/>
                          </a:prstGeom>
                          <a:noFill/>
                          <a:ln>
                            <a:noFill/>
                          </a:ln>
                        </pic:spPr>
                      </pic:pic>
                    </a:graphicData>
                  </a:graphic>
                </wp:inline>
              </w:drawing>
            </w:r>
          </w:p>
        </w:tc>
        <w:tc>
          <w:tcPr>
            <w:tcW w:w="6939" w:type="dxa"/>
            <w:tcMar>
              <w:top w:w="0" w:type="dxa"/>
              <w:left w:w="108" w:type="dxa"/>
              <w:bottom w:w="0" w:type="dxa"/>
              <w:right w:w="108" w:type="dxa"/>
            </w:tcMar>
            <w:hideMark/>
          </w:tcPr>
          <w:p w:rsidR="00717A7A" w:rsidRDefault="00717A7A">
            <w:pPr>
              <w:jc w:val="center"/>
              <w:rPr>
                <w:rFonts w:ascii="Constantia" w:hAnsi="Constantia"/>
                <w:b/>
                <w:bCs/>
                <w:color w:val="002368"/>
                <w:sz w:val="24"/>
                <w:szCs w:val="24"/>
              </w:rPr>
            </w:pPr>
            <w:r>
              <w:rPr>
                <w:noProof/>
                <w:lang w:eastAsia="fr-FR"/>
              </w:rPr>
              <w:drawing>
                <wp:inline distT="0" distB="0" distL="0" distR="0">
                  <wp:extent cx="2733675" cy="1933575"/>
                  <wp:effectExtent l="0" t="0" r="9525" b="9525"/>
                  <wp:docPr id="2" name="Image 2" descr="cid:image004.jpg@01D425C4.C88C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4.jpg@01D425C4.C88C69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733675" cy="1933575"/>
                          </a:xfrm>
                          <a:prstGeom prst="rect">
                            <a:avLst/>
                          </a:prstGeom>
                          <a:noFill/>
                          <a:ln>
                            <a:noFill/>
                          </a:ln>
                        </pic:spPr>
                      </pic:pic>
                    </a:graphicData>
                  </a:graphic>
                </wp:inline>
              </w:drawing>
            </w:r>
          </w:p>
        </w:tc>
        <w:tc>
          <w:tcPr>
            <w:tcW w:w="7087" w:type="dxa"/>
            <w:tcMar>
              <w:top w:w="0" w:type="dxa"/>
              <w:left w:w="108" w:type="dxa"/>
              <w:bottom w:w="0" w:type="dxa"/>
              <w:right w:w="108" w:type="dxa"/>
            </w:tcMar>
          </w:tcPr>
          <w:p w:rsidR="00717A7A" w:rsidRDefault="00717A7A">
            <w:pPr>
              <w:jc w:val="center"/>
              <w:rPr>
                <w:rFonts w:ascii="Constantia" w:hAnsi="Constantia"/>
                <w:b/>
                <w:bCs/>
                <w:color w:val="002368"/>
                <w:sz w:val="24"/>
                <w:szCs w:val="24"/>
              </w:rPr>
            </w:pPr>
          </w:p>
          <w:p w:rsidR="00717A7A" w:rsidRDefault="00717A7A">
            <w:pPr>
              <w:jc w:val="center"/>
              <w:rPr>
                <w:rFonts w:ascii="Constantia" w:hAnsi="Constantia"/>
                <w:b/>
                <w:bCs/>
                <w:color w:val="002368"/>
                <w:sz w:val="24"/>
                <w:szCs w:val="24"/>
              </w:rPr>
            </w:pPr>
            <w:r>
              <w:rPr>
                <w:noProof/>
                <w:lang w:eastAsia="fr-FR"/>
              </w:rPr>
              <w:drawing>
                <wp:inline distT="0" distB="0" distL="0" distR="0">
                  <wp:extent cx="2533650" cy="1171575"/>
                  <wp:effectExtent l="0" t="0" r="0" b="9525"/>
                  <wp:docPr id="1" name="Image 1" descr="RÃ©sultat de recherche d'images pour &quot;SIPP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RÃ©sultat de recherche d'images pour &quot;SIPPO&quo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33650" cy="1171575"/>
                          </a:xfrm>
                          <a:prstGeom prst="rect">
                            <a:avLst/>
                          </a:prstGeom>
                          <a:noFill/>
                          <a:ln>
                            <a:noFill/>
                          </a:ln>
                        </pic:spPr>
                      </pic:pic>
                    </a:graphicData>
                  </a:graphic>
                </wp:inline>
              </w:drawing>
            </w:r>
          </w:p>
        </w:tc>
      </w:tr>
    </w:tbl>
    <w:p w:rsidR="00717A7A" w:rsidRDefault="00717A7A" w:rsidP="00717A7A">
      <w:pPr>
        <w:jc w:val="center"/>
        <w:rPr>
          <w:rFonts w:ascii="Constantia" w:hAnsi="Constantia"/>
          <w:b/>
          <w:bCs/>
          <w:i/>
          <w:iCs/>
          <w:color w:val="360036"/>
          <w:sz w:val="36"/>
          <w:szCs w:val="36"/>
          <w:u w:val="single"/>
          <w:lang w:eastAsia="fr-FR"/>
        </w:rPr>
      </w:pPr>
      <w:r>
        <w:rPr>
          <w:rFonts w:ascii="Constantia" w:hAnsi="Constantia"/>
          <w:b/>
          <w:bCs/>
          <w:i/>
          <w:iCs/>
          <w:color w:val="360036"/>
          <w:sz w:val="36"/>
          <w:szCs w:val="36"/>
          <w:u w:val="single"/>
          <w:lang w:eastAsia="fr-FR"/>
        </w:rPr>
        <w:t xml:space="preserve">APPEL A MANIFESTATION POUR LES PRODUCTEURS/EXPORTATEURS </w:t>
      </w:r>
      <w:bookmarkStart w:id="0" w:name="_GoBack"/>
      <w:bookmarkEnd w:id="0"/>
    </w:p>
    <w:p w:rsidR="00717A7A" w:rsidRDefault="00717A7A" w:rsidP="00717A7A">
      <w:pPr>
        <w:jc w:val="center"/>
        <w:rPr>
          <w:rFonts w:ascii="Constantia" w:hAnsi="Constantia"/>
          <w:b/>
          <w:bCs/>
          <w:i/>
          <w:iCs/>
          <w:color w:val="360036"/>
          <w:sz w:val="36"/>
          <w:szCs w:val="36"/>
          <w:u w:val="single"/>
          <w:lang w:eastAsia="fr-FR"/>
        </w:rPr>
      </w:pPr>
      <w:r>
        <w:rPr>
          <w:rFonts w:ascii="Constantia" w:hAnsi="Constantia"/>
          <w:b/>
          <w:bCs/>
          <w:i/>
          <w:iCs/>
          <w:color w:val="360036"/>
          <w:sz w:val="36"/>
          <w:szCs w:val="36"/>
          <w:u w:val="single"/>
          <w:lang w:eastAsia="fr-FR"/>
        </w:rPr>
        <w:t xml:space="preserve">DE L’HUILE D’OLIVE BIO </w:t>
      </w:r>
    </w:p>
    <w:p w:rsidR="00717A7A" w:rsidRDefault="00717A7A" w:rsidP="00717A7A">
      <w:pPr>
        <w:jc w:val="center"/>
        <w:rPr>
          <w:color w:val="000000"/>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14004"/>
      </w:tblGrid>
      <w:tr w:rsidR="00717A7A" w:rsidTr="00717A7A">
        <w:trPr>
          <w:jc w:val="center"/>
        </w:trPr>
        <w:tc>
          <w:tcPr>
            <w:tcW w:w="17835" w:type="dxa"/>
            <w:tcMar>
              <w:top w:w="0" w:type="dxa"/>
              <w:left w:w="108" w:type="dxa"/>
              <w:bottom w:w="0" w:type="dxa"/>
              <w:right w:w="108" w:type="dxa"/>
            </w:tcMar>
          </w:tcPr>
          <w:p w:rsidR="00717A7A" w:rsidRPr="00717A7A" w:rsidRDefault="00717A7A">
            <w:pPr>
              <w:spacing w:after="200" w:line="276" w:lineRule="auto"/>
              <w:jc w:val="center"/>
              <w:rPr>
                <w:rFonts w:ascii="Times New Roman" w:hAnsi="Times New Roman"/>
                <w:sz w:val="36"/>
                <w:szCs w:val="36"/>
                <w:lang w:eastAsia="fr-FR"/>
              </w:rPr>
            </w:pPr>
            <w:r w:rsidRPr="00717A7A">
              <w:rPr>
                <w:rFonts w:ascii="Gisha" w:hAnsi="Gisha" w:cs="Gisha"/>
                <w:b/>
                <w:bCs/>
                <w:color w:val="333399"/>
                <w:sz w:val="36"/>
                <w:szCs w:val="36"/>
                <w:lang w:eastAsia="fr-FR"/>
              </w:rPr>
              <w:t>Organisation d’Une Mission Professionnelle</w:t>
            </w:r>
            <w:r w:rsidRPr="00717A7A">
              <w:rPr>
                <w:rFonts w:ascii="Gisha" w:hAnsi="Gisha" w:cs="Gisha"/>
                <w:b/>
                <w:bCs/>
                <w:color w:val="1F497D"/>
                <w:sz w:val="36"/>
                <w:szCs w:val="36"/>
                <w:lang w:eastAsia="fr-FR"/>
              </w:rPr>
              <w:t xml:space="preserve"> </w:t>
            </w:r>
            <w:r w:rsidRPr="00717A7A">
              <w:rPr>
                <w:rFonts w:ascii="Gisha" w:hAnsi="Gisha" w:cs="Gisha"/>
                <w:b/>
                <w:bCs/>
                <w:color w:val="333399"/>
                <w:sz w:val="36"/>
                <w:szCs w:val="36"/>
                <w:lang w:eastAsia="fr-FR"/>
              </w:rPr>
              <w:t>Vendeurs en Suisse et en Allemagne</w:t>
            </w:r>
          </w:p>
          <w:tbl>
            <w:tblPr>
              <w:tblW w:w="13632" w:type="dxa"/>
              <w:tblCellMar>
                <w:left w:w="0" w:type="dxa"/>
                <w:right w:w="0" w:type="dxa"/>
              </w:tblCellMar>
              <w:tblLook w:val="04A0" w:firstRow="1" w:lastRow="0" w:firstColumn="1" w:lastColumn="0" w:noHBand="0" w:noVBand="1"/>
            </w:tblPr>
            <w:tblGrid>
              <w:gridCol w:w="2717"/>
              <w:gridCol w:w="10915"/>
            </w:tblGrid>
            <w:tr w:rsidR="00717A7A" w:rsidTr="00717A7A">
              <w:tc>
                <w:tcPr>
                  <w:tcW w:w="2717"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717A7A" w:rsidRPr="00717A7A" w:rsidRDefault="00717A7A" w:rsidP="00717A7A">
                  <w:pPr>
                    <w:spacing w:after="200" w:line="276" w:lineRule="auto"/>
                    <w:rPr>
                      <w:rFonts w:ascii="Constantia" w:hAnsi="Constantia"/>
                      <w:b/>
                      <w:bCs/>
                      <w:color w:val="0000CC"/>
                      <w:sz w:val="24"/>
                      <w:szCs w:val="24"/>
                      <w:u w:val="single"/>
                      <w:lang w:eastAsia="fr-FR"/>
                    </w:rPr>
                  </w:pPr>
                  <w:r w:rsidRPr="00717A7A">
                    <w:rPr>
                      <w:rFonts w:ascii="Constantia" w:hAnsi="Constantia"/>
                      <w:b/>
                      <w:bCs/>
                      <w:color w:val="0000CC"/>
                      <w:sz w:val="24"/>
                      <w:szCs w:val="24"/>
                      <w:u w:val="single"/>
                      <w:lang w:eastAsia="fr-FR"/>
                    </w:rPr>
                    <w:t>Vous êtes</w:t>
                  </w:r>
                </w:p>
                <w:p w:rsidR="00717A7A" w:rsidRPr="00717A7A" w:rsidRDefault="00717A7A" w:rsidP="00717A7A">
                  <w:pPr>
                    <w:spacing w:after="200" w:line="276" w:lineRule="auto"/>
                    <w:rPr>
                      <w:rFonts w:ascii="Constantia" w:hAnsi="Constantia"/>
                      <w:b/>
                      <w:bCs/>
                      <w:color w:val="0000CC"/>
                      <w:sz w:val="24"/>
                      <w:szCs w:val="24"/>
                      <w:u w:val="single"/>
                      <w:lang w:eastAsia="fr-FR"/>
                    </w:rPr>
                  </w:pPr>
                  <w:r w:rsidRPr="00717A7A">
                    <w:rPr>
                      <w:rFonts w:ascii="Constantia" w:hAnsi="Constantia"/>
                      <w:b/>
                      <w:bCs/>
                      <w:color w:val="0000CC"/>
                      <w:sz w:val="24"/>
                      <w:szCs w:val="24"/>
                      <w:u w:val="single"/>
                      <w:lang w:eastAsia="fr-FR"/>
                    </w:rPr>
                    <w:t>Vous Voulez</w:t>
                  </w:r>
                </w:p>
                <w:p w:rsidR="00717A7A" w:rsidRPr="00717A7A" w:rsidRDefault="00717A7A" w:rsidP="00717A7A">
                  <w:pPr>
                    <w:spacing w:after="200" w:line="276" w:lineRule="auto"/>
                    <w:rPr>
                      <w:rFonts w:ascii="Times New Roman" w:hAnsi="Times New Roman"/>
                      <w:sz w:val="24"/>
                      <w:szCs w:val="24"/>
                      <w:lang w:eastAsia="fr-FR"/>
                    </w:rPr>
                  </w:pPr>
                  <w:r w:rsidRPr="00717A7A">
                    <w:rPr>
                      <w:rFonts w:ascii="Constantia" w:hAnsi="Constantia"/>
                      <w:b/>
                      <w:bCs/>
                      <w:color w:val="0000CC"/>
                      <w:sz w:val="24"/>
                      <w:szCs w:val="24"/>
                      <w:u w:val="single"/>
                      <w:lang w:eastAsia="fr-FR"/>
                    </w:rPr>
                    <w:t xml:space="preserve">Vous Ambitionnez </w:t>
                  </w:r>
                  <w:r w:rsidRPr="00717A7A">
                    <w:rPr>
                      <w:rFonts w:ascii="Constantia" w:hAnsi="Constantia"/>
                      <w:b/>
                      <w:bCs/>
                      <w:color w:val="0000CC"/>
                      <w:sz w:val="24"/>
                      <w:szCs w:val="24"/>
                      <w:lang w:eastAsia="fr-FR"/>
                    </w:rPr>
                    <w:t> </w:t>
                  </w:r>
                  <w:r w:rsidRPr="00717A7A">
                    <w:rPr>
                      <w:rFonts w:ascii="Constantia" w:hAnsi="Constantia"/>
                      <w:b/>
                      <w:bCs/>
                      <w:color w:val="1F497D"/>
                      <w:sz w:val="24"/>
                      <w:szCs w:val="24"/>
                      <w:lang w:eastAsia="fr-FR"/>
                    </w:rPr>
                    <w:t>  </w:t>
                  </w:r>
                </w:p>
              </w:tc>
              <w:tc>
                <w:tcPr>
                  <w:tcW w:w="10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7A7A" w:rsidRPr="00717A7A" w:rsidRDefault="00717A7A" w:rsidP="00717A7A">
                  <w:pPr>
                    <w:spacing w:after="200" w:line="276" w:lineRule="auto"/>
                    <w:textAlignment w:val="baseline"/>
                    <w:rPr>
                      <w:rFonts w:ascii="Times New Roman" w:hAnsi="Times New Roman"/>
                      <w:sz w:val="24"/>
                      <w:szCs w:val="24"/>
                      <w:lang w:eastAsia="fr-FR"/>
                    </w:rPr>
                  </w:pPr>
                  <w:r w:rsidRPr="00717A7A">
                    <w:rPr>
                      <w:rFonts w:ascii="Constantia" w:hAnsi="Constantia"/>
                      <w:b/>
                      <w:bCs/>
                      <w:color w:val="1F497D"/>
                      <w:sz w:val="24"/>
                      <w:szCs w:val="24"/>
                      <w:lang w:eastAsia="fr-FR"/>
                    </w:rPr>
                    <w:t> </w:t>
                  </w:r>
                  <w:r w:rsidRPr="00717A7A">
                    <w:rPr>
                      <w:rFonts w:ascii="Constantia" w:hAnsi="Constantia"/>
                      <w:b/>
                      <w:bCs/>
                      <w:color w:val="360036"/>
                      <w:sz w:val="24"/>
                      <w:szCs w:val="24"/>
                      <w:lang w:eastAsia="fr-FR"/>
                    </w:rPr>
                    <w:t>Un Producteur et/ou Exportateur de l’Huile d’Olive Biologique</w:t>
                  </w:r>
                  <w:r w:rsidRPr="00717A7A">
                    <w:rPr>
                      <w:rFonts w:ascii="Constantia" w:hAnsi="Constantia"/>
                      <w:b/>
                      <w:bCs/>
                      <w:color w:val="1F497D"/>
                      <w:sz w:val="24"/>
                      <w:szCs w:val="24"/>
                      <w:lang w:eastAsia="fr-FR"/>
                    </w:rPr>
                    <w:t xml:space="preserve"> </w:t>
                  </w:r>
                  <w:r w:rsidRPr="00717A7A">
                    <w:rPr>
                      <w:rFonts w:ascii="Constantia" w:hAnsi="Constantia"/>
                      <w:b/>
                      <w:bCs/>
                      <w:color w:val="360036"/>
                      <w:sz w:val="24"/>
                      <w:szCs w:val="24"/>
                      <w:lang w:eastAsia="fr-FR"/>
                    </w:rPr>
                    <w:t>&amp; Douce   </w:t>
                  </w:r>
                </w:p>
                <w:p w:rsidR="00717A7A" w:rsidRPr="00717A7A" w:rsidRDefault="00717A7A" w:rsidP="00717A7A">
                  <w:pPr>
                    <w:spacing w:after="200" w:line="276" w:lineRule="auto"/>
                    <w:textAlignment w:val="baseline"/>
                    <w:rPr>
                      <w:rFonts w:ascii="Times New Roman" w:hAnsi="Times New Roman"/>
                      <w:sz w:val="24"/>
                      <w:szCs w:val="24"/>
                      <w:lang w:eastAsia="fr-FR"/>
                    </w:rPr>
                  </w:pPr>
                  <w:r w:rsidRPr="00717A7A">
                    <w:rPr>
                      <w:rFonts w:ascii="Constantia" w:hAnsi="Constantia"/>
                      <w:b/>
                      <w:bCs/>
                      <w:color w:val="0000CC"/>
                      <w:sz w:val="24"/>
                      <w:szCs w:val="24"/>
                      <w:lang w:eastAsia="fr-FR"/>
                    </w:rPr>
                    <w:t xml:space="preserve">  </w:t>
                  </w:r>
                  <w:r w:rsidRPr="00717A7A">
                    <w:rPr>
                      <w:rFonts w:ascii="Constantia" w:hAnsi="Constantia"/>
                      <w:b/>
                      <w:bCs/>
                      <w:color w:val="360036"/>
                      <w:sz w:val="24"/>
                      <w:szCs w:val="24"/>
                      <w:lang w:eastAsia="fr-FR"/>
                    </w:rPr>
                    <w:t>Consolider / Diversifier Vos Exportations sur les Marchés Suisse &amp; Allemand  </w:t>
                  </w:r>
                </w:p>
                <w:p w:rsidR="00717A7A" w:rsidRPr="00717A7A" w:rsidRDefault="00717A7A">
                  <w:pPr>
                    <w:spacing w:after="200" w:line="276" w:lineRule="auto"/>
                    <w:textAlignment w:val="baseline"/>
                    <w:rPr>
                      <w:rFonts w:ascii="Times New Roman" w:hAnsi="Times New Roman"/>
                      <w:sz w:val="24"/>
                      <w:szCs w:val="24"/>
                      <w:lang w:eastAsia="fr-FR"/>
                    </w:rPr>
                  </w:pPr>
                  <w:r w:rsidRPr="00717A7A">
                    <w:rPr>
                      <w:rFonts w:ascii="Constantia" w:hAnsi="Constantia"/>
                      <w:b/>
                      <w:bCs/>
                      <w:color w:val="360036"/>
                      <w:sz w:val="24"/>
                      <w:szCs w:val="24"/>
                      <w:lang w:eastAsia="fr-FR"/>
                    </w:rPr>
                    <w:t>De Pérenniser Vos Exportations sur les Deux Marchés</w:t>
                  </w:r>
                  <w:r w:rsidRPr="00717A7A">
                    <w:rPr>
                      <w:rFonts w:ascii="Constantia" w:hAnsi="Constantia"/>
                      <w:b/>
                      <w:bCs/>
                      <w:color w:val="1F497D"/>
                      <w:sz w:val="24"/>
                      <w:szCs w:val="24"/>
                      <w:lang w:eastAsia="fr-FR"/>
                    </w:rPr>
                    <w:t xml:space="preserve"> </w:t>
                  </w:r>
                  <w:r w:rsidRPr="00717A7A">
                    <w:rPr>
                      <w:rFonts w:ascii="Constantia" w:hAnsi="Constantia"/>
                      <w:b/>
                      <w:bCs/>
                      <w:color w:val="360036"/>
                      <w:sz w:val="24"/>
                      <w:szCs w:val="24"/>
                      <w:lang w:eastAsia="fr-FR"/>
                    </w:rPr>
                    <w:t>Cibles  </w:t>
                  </w:r>
                  <w:r w:rsidRPr="00717A7A">
                    <w:rPr>
                      <w:rFonts w:ascii="Times New Roman" w:hAnsi="Times New Roman"/>
                      <w:b/>
                      <w:bCs/>
                      <w:color w:val="360036"/>
                      <w:sz w:val="24"/>
                      <w:szCs w:val="24"/>
                      <w:lang w:eastAsia="fr-FR"/>
                    </w:rPr>
                    <w:t>  </w:t>
                  </w:r>
                </w:p>
              </w:tc>
            </w:tr>
          </w:tbl>
          <w:p w:rsidR="00717A7A" w:rsidRDefault="00717A7A">
            <w:pPr>
              <w:spacing w:after="200" w:line="276" w:lineRule="auto"/>
              <w:rPr>
                <w:rFonts w:ascii="Times New Roman" w:hAnsi="Times New Roman"/>
                <w:sz w:val="24"/>
                <w:szCs w:val="24"/>
                <w:lang w:eastAsia="fr-FR"/>
              </w:rPr>
            </w:pPr>
            <w:r>
              <w:rPr>
                <w:lang w:eastAsia="fr-FR"/>
              </w:rPr>
              <w:t> </w:t>
            </w:r>
          </w:p>
        </w:tc>
      </w:tr>
    </w:tbl>
    <w:p w:rsidR="00717A7A" w:rsidRPr="00717A7A" w:rsidRDefault="00717A7A" w:rsidP="00717A7A">
      <w:pPr>
        <w:spacing w:after="200" w:line="276" w:lineRule="auto"/>
        <w:jc w:val="center"/>
        <w:rPr>
          <w:rFonts w:ascii="Constantia" w:hAnsi="Constantia"/>
          <w:b/>
          <w:bCs/>
          <w:color w:val="0000CC"/>
          <w:sz w:val="28"/>
          <w:szCs w:val="28"/>
          <w:u w:val="single"/>
          <w:lang w:eastAsia="fr-FR"/>
        </w:rPr>
      </w:pPr>
      <w:r w:rsidRPr="00717A7A">
        <w:rPr>
          <w:rFonts w:ascii="Constantia" w:hAnsi="Constantia"/>
          <w:b/>
          <w:bCs/>
          <w:color w:val="0000CC"/>
          <w:sz w:val="28"/>
          <w:szCs w:val="28"/>
          <w:lang w:eastAsia="fr-FR"/>
        </w:rPr>
        <w:t>Le Fonds TASDIR+ &amp; le CEPEX avec la collaboration du partenaire Suisse SIPPO ont initié un programme permettant à l’Huile d’Olive tunisienne Bio &amp; Douce de se positionner durablement sur les marchés Suisse et Allemand.</w:t>
      </w:r>
    </w:p>
    <w:p w:rsidR="00717A7A" w:rsidRDefault="00717A7A" w:rsidP="00717A7A">
      <w:pPr>
        <w:spacing w:after="200" w:line="276" w:lineRule="auto"/>
        <w:jc w:val="both"/>
        <w:rPr>
          <w:b/>
          <w:bCs/>
          <w:i/>
          <w:iCs/>
          <w:color w:val="333399"/>
          <w:sz w:val="26"/>
          <w:szCs w:val="26"/>
          <w:u w:val="single"/>
          <w:lang w:eastAsia="fr-FR"/>
        </w:rPr>
      </w:pPr>
      <w:r>
        <w:rPr>
          <w:b/>
          <w:bCs/>
          <w:i/>
          <w:iCs/>
          <w:color w:val="333399"/>
          <w:sz w:val="26"/>
          <w:szCs w:val="26"/>
          <w:u w:val="single"/>
          <w:lang w:eastAsia="fr-FR"/>
        </w:rPr>
        <w:t>Présentation de l’Action Transversale Structurante Proposée à la Filière Huile d’Olive Bio</w:t>
      </w:r>
      <w:r>
        <w:rPr>
          <w:b/>
          <w:bCs/>
          <w:i/>
          <w:iCs/>
          <w:color w:val="1F497D"/>
          <w:sz w:val="26"/>
          <w:szCs w:val="26"/>
          <w:u w:val="single"/>
          <w:lang w:eastAsia="fr-FR"/>
        </w:rPr>
        <w:t xml:space="preserve"> </w:t>
      </w:r>
      <w:r>
        <w:rPr>
          <w:b/>
          <w:bCs/>
          <w:i/>
          <w:iCs/>
          <w:color w:val="333399"/>
          <w:sz w:val="26"/>
          <w:szCs w:val="26"/>
          <w:u w:val="single"/>
          <w:lang w:eastAsia="fr-FR"/>
        </w:rPr>
        <w:t xml:space="preserve">&amp; Douce </w:t>
      </w:r>
    </w:p>
    <w:p w:rsidR="00717A7A" w:rsidRDefault="00717A7A" w:rsidP="00717A7A">
      <w:pPr>
        <w:spacing w:after="200" w:line="276" w:lineRule="auto"/>
        <w:jc w:val="both"/>
        <w:rPr>
          <w:color w:val="002060"/>
          <w:sz w:val="26"/>
          <w:szCs w:val="26"/>
          <w:lang w:eastAsia="fr-FR"/>
        </w:rPr>
      </w:pPr>
      <w:r>
        <w:rPr>
          <w:color w:val="002060"/>
          <w:sz w:val="26"/>
          <w:szCs w:val="26"/>
          <w:lang w:eastAsia="fr-FR"/>
        </w:rPr>
        <w:lastRenderedPageBreak/>
        <w:t xml:space="preserve">Le Fonds de Développement &amp; de Diversification des Marchés à l’Exportation </w:t>
      </w:r>
      <w:r>
        <w:rPr>
          <w:b/>
          <w:bCs/>
          <w:color w:val="333399"/>
          <w:sz w:val="26"/>
          <w:szCs w:val="26"/>
          <w:lang w:eastAsia="fr-FR"/>
        </w:rPr>
        <w:t>TASDIR</w:t>
      </w:r>
      <w:r>
        <w:rPr>
          <w:b/>
          <w:bCs/>
          <w:color w:val="360036"/>
          <w:sz w:val="26"/>
          <w:szCs w:val="26"/>
          <w:lang w:eastAsia="fr-FR"/>
        </w:rPr>
        <w:t>+</w:t>
      </w:r>
      <w:r>
        <w:rPr>
          <w:color w:val="002060"/>
          <w:sz w:val="26"/>
          <w:szCs w:val="26"/>
          <w:lang w:eastAsia="fr-FR"/>
        </w:rPr>
        <w:t xml:space="preserve"> avec la collaboration du </w:t>
      </w:r>
      <w:r>
        <w:rPr>
          <w:b/>
          <w:bCs/>
          <w:color w:val="333399"/>
          <w:sz w:val="26"/>
          <w:szCs w:val="26"/>
          <w:lang w:eastAsia="fr-FR"/>
        </w:rPr>
        <w:t>CEPEX</w:t>
      </w:r>
      <w:r>
        <w:rPr>
          <w:color w:val="002060"/>
          <w:sz w:val="26"/>
          <w:szCs w:val="26"/>
          <w:lang w:eastAsia="fr-FR"/>
        </w:rPr>
        <w:t xml:space="preserve"> et du Programme Suisse Pour le Développement des Importations </w:t>
      </w:r>
      <w:r>
        <w:rPr>
          <w:b/>
          <w:bCs/>
          <w:color w:val="333399"/>
          <w:sz w:val="26"/>
          <w:szCs w:val="26"/>
          <w:lang w:eastAsia="fr-FR"/>
        </w:rPr>
        <w:t>SIPPO</w:t>
      </w:r>
      <w:r>
        <w:rPr>
          <w:color w:val="002060"/>
          <w:sz w:val="26"/>
          <w:szCs w:val="26"/>
          <w:lang w:eastAsia="fr-FR"/>
        </w:rPr>
        <w:t xml:space="preserve"> organise un Programme Transversal Structurant pour la Filière l’Huile d’Olive Bio ciblant les Marchés Suisses et Allemand.</w:t>
      </w:r>
    </w:p>
    <w:p w:rsidR="00717A7A" w:rsidRDefault="00717A7A" w:rsidP="00717A7A">
      <w:pPr>
        <w:spacing w:after="200" w:line="276" w:lineRule="auto"/>
        <w:jc w:val="both"/>
        <w:rPr>
          <w:color w:val="002060"/>
          <w:sz w:val="26"/>
          <w:szCs w:val="26"/>
          <w:lang w:eastAsia="fr-FR"/>
        </w:rPr>
      </w:pPr>
      <w:r>
        <w:rPr>
          <w:color w:val="002060"/>
          <w:sz w:val="26"/>
          <w:szCs w:val="26"/>
          <w:lang w:eastAsia="fr-FR"/>
        </w:rPr>
        <w:t>A cet effet, 6 entreprises de la filière seront sélectionnées par le Programme en fonction des conditions d’accès des marchés cibles pour participer au Programme qui sera ponctué par une mission vendeurs en Allemagne et en Suisse avec des Acheteurs Professionnels sélectionnés en fonction des besoins des marchés et de l’offre tunisienne.    </w:t>
      </w:r>
    </w:p>
    <w:p w:rsidR="00717A7A" w:rsidRDefault="00717A7A" w:rsidP="00717A7A">
      <w:pPr>
        <w:spacing w:after="200" w:line="276" w:lineRule="auto"/>
        <w:jc w:val="both"/>
        <w:rPr>
          <w:b/>
          <w:bCs/>
          <w:i/>
          <w:iCs/>
          <w:color w:val="333399"/>
          <w:sz w:val="26"/>
          <w:szCs w:val="26"/>
          <w:u w:val="single"/>
          <w:lang w:eastAsia="fr-FR"/>
        </w:rPr>
      </w:pPr>
      <w:r>
        <w:rPr>
          <w:b/>
          <w:bCs/>
          <w:i/>
          <w:iCs/>
          <w:color w:val="333399"/>
          <w:sz w:val="26"/>
          <w:szCs w:val="26"/>
          <w:u w:val="single"/>
          <w:lang w:eastAsia="fr-FR"/>
        </w:rPr>
        <w:t>Appel A Manifestation d’Intérêt</w:t>
      </w:r>
    </w:p>
    <w:p w:rsidR="00717A7A" w:rsidRDefault="00717A7A" w:rsidP="00717A7A">
      <w:pPr>
        <w:spacing w:after="200" w:line="276" w:lineRule="auto"/>
        <w:jc w:val="both"/>
        <w:rPr>
          <w:color w:val="002060"/>
          <w:sz w:val="26"/>
          <w:szCs w:val="26"/>
          <w:lang w:eastAsia="fr-FR"/>
        </w:rPr>
      </w:pPr>
      <w:r>
        <w:rPr>
          <w:color w:val="002060"/>
          <w:sz w:val="26"/>
          <w:szCs w:val="26"/>
          <w:lang w:eastAsia="fr-FR"/>
        </w:rPr>
        <w:t xml:space="preserve">Dans ce contexte, Les entreprises/Producteurs/Exportateurs de l’Huile d’Olive Biologiques intéressées sont prié de renseigner la Fiche de Candidature pour le Programme ci-jointe et de la retourner aux adresses mail ci-après et ce le vendredi 07 septembre 2018 au plus tard. </w:t>
      </w:r>
    </w:p>
    <w:p w:rsidR="00717A7A" w:rsidRDefault="00717A7A" w:rsidP="00717A7A">
      <w:pPr>
        <w:spacing w:after="200" w:line="276" w:lineRule="auto"/>
        <w:jc w:val="both"/>
        <w:rPr>
          <w:b/>
          <w:bCs/>
          <w:i/>
          <w:iCs/>
          <w:color w:val="333399"/>
          <w:sz w:val="26"/>
          <w:szCs w:val="26"/>
          <w:u w:val="single"/>
          <w:lang w:eastAsia="fr-FR"/>
        </w:rPr>
      </w:pPr>
      <w:r>
        <w:rPr>
          <w:b/>
          <w:bCs/>
          <w:i/>
          <w:iCs/>
          <w:color w:val="333399"/>
          <w:sz w:val="26"/>
          <w:szCs w:val="26"/>
          <w:u w:val="single"/>
          <w:lang w:eastAsia="fr-FR"/>
        </w:rPr>
        <w:t>Financement de l’Action</w:t>
      </w:r>
    </w:p>
    <w:p w:rsidR="00717A7A" w:rsidRDefault="00717A7A" w:rsidP="00717A7A">
      <w:pPr>
        <w:spacing w:after="200" w:line="276" w:lineRule="auto"/>
        <w:jc w:val="both"/>
        <w:rPr>
          <w:color w:val="002060"/>
          <w:sz w:val="26"/>
          <w:szCs w:val="26"/>
          <w:lang w:eastAsia="fr-FR"/>
        </w:rPr>
      </w:pPr>
      <w:r>
        <w:rPr>
          <w:color w:val="002060"/>
          <w:sz w:val="26"/>
          <w:szCs w:val="26"/>
          <w:lang w:eastAsia="fr-FR"/>
        </w:rPr>
        <w:t xml:space="preserve">Le Fonds TASDIR+ finance </w:t>
      </w:r>
      <w:r>
        <w:rPr>
          <w:b/>
          <w:bCs/>
          <w:color w:val="333399"/>
          <w:sz w:val="32"/>
          <w:szCs w:val="32"/>
          <w:lang w:eastAsia="fr-FR"/>
        </w:rPr>
        <w:t>50%</w:t>
      </w:r>
      <w:r>
        <w:rPr>
          <w:color w:val="333399"/>
          <w:sz w:val="26"/>
          <w:szCs w:val="26"/>
          <w:lang w:eastAsia="fr-FR"/>
        </w:rPr>
        <w:t xml:space="preserve"> </w:t>
      </w:r>
      <w:r>
        <w:rPr>
          <w:color w:val="002060"/>
          <w:sz w:val="26"/>
          <w:szCs w:val="26"/>
          <w:lang w:eastAsia="fr-FR"/>
        </w:rPr>
        <w:t xml:space="preserve">des coûts engendrés par le Programme avec un Bonus de </w:t>
      </w:r>
      <w:r>
        <w:rPr>
          <w:b/>
          <w:bCs/>
          <w:color w:val="333399"/>
          <w:sz w:val="32"/>
          <w:szCs w:val="32"/>
          <w:lang w:eastAsia="fr-FR"/>
        </w:rPr>
        <w:t>70%</w:t>
      </w:r>
      <w:r>
        <w:rPr>
          <w:color w:val="333399"/>
          <w:sz w:val="26"/>
          <w:szCs w:val="26"/>
          <w:lang w:eastAsia="fr-FR"/>
        </w:rPr>
        <w:t xml:space="preserve"> </w:t>
      </w:r>
      <w:r>
        <w:rPr>
          <w:color w:val="002060"/>
          <w:sz w:val="26"/>
          <w:szCs w:val="26"/>
          <w:lang w:eastAsia="fr-FR"/>
        </w:rPr>
        <w:t xml:space="preserve">de remboursement sous certaines conditions. </w:t>
      </w:r>
    </w:p>
    <w:p w:rsidR="00717A7A" w:rsidRDefault="00717A7A" w:rsidP="00717A7A">
      <w:pPr>
        <w:spacing w:after="200" w:line="276" w:lineRule="auto"/>
        <w:jc w:val="both"/>
        <w:rPr>
          <w:b/>
          <w:bCs/>
          <w:i/>
          <w:iCs/>
          <w:color w:val="333399"/>
          <w:sz w:val="26"/>
          <w:szCs w:val="26"/>
          <w:u w:val="single"/>
          <w:lang w:eastAsia="fr-FR"/>
        </w:rPr>
      </w:pPr>
      <w:r>
        <w:rPr>
          <w:b/>
          <w:bCs/>
          <w:i/>
          <w:iCs/>
          <w:color w:val="333399"/>
          <w:sz w:val="26"/>
          <w:szCs w:val="26"/>
          <w:u w:val="single"/>
          <w:lang w:eastAsia="fr-FR"/>
        </w:rPr>
        <w:t>Eligibilité</w:t>
      </w:r>
    </w:p>
    <w:p w:rsidR="00717A7A" w:rsidRDefault="00717A7A" w:rsidP="00717A7A">
      <w:pPr>
        <w:spacing w:after="200" w:line="276" w:lineRule="auto"/>
        <w:jc w:val="both"/>
        <w:rPr>
          <w:color w:val="002060"/>
          <w:sz w:val="26"/>
          <w:szCs w:val="26"/>
          <w:lang w:eastAsia="fr-FR"/>
        </w:rPr>
      </w:pPr>
      <w:r>
        <w:rPr>
          <w:color w:val="002060"/>
          <w:sz w:val="26"/>
          <w:szCs w:val="26"/>
          <w:lang w:eastAsia="fr-FR"/>
        </w:rPr>
        <w:t xml:space="preserve">Les produits de l’entreprise candidate doivent être certifiés Bio et de saveur type Douce. </w:t>
      </w:r>
    </w:p>
    <w:p w:rsidR="00717A7A" w:rsidRDefault="00717A7A" w:rsidP="00717A7A">
      <w:pPr>
        <w:spacing w:after="200" w:line="276" w:lineRule="auto"/>
        <w:jc w:val="both"/>
        <w:rPr>
          <w:b/>
          <w:bCs/>
          <w:i/>
          <w:iCs/>
          <w:color w:val="333399"/>
          <w:sz w:val="26"/>
          <w:szCs w:val="26"/>
          <w:u w:val="single"/>
          <w:lang w:eastAsia="fr-FR"/>
        </w:rPr>
      </w:pPr>
      <w:r>
        <w:rPr>
          <w:b/>
          <w:bCs/>
          <w:i/>
          <w:iCs/>
          <w:color w:val="333399"/>
          <w:sz w:val="26"/>
          <w:szCs w:val="26"/>
          <w:u w:val="single"/>
          <w:lang w:eastAsia="fr-FR"/>
        </w:rPr>
        <w:t>Date Limite d’Envoi des Candidatures</w:t>
      </w:r>
    </w:p>
    <w:p w:rsidR="00717A7A" w:rsidRDefault="00717A7A" w:rsidP="00717A7A">
      <w:pPr>
        <w:spacing w:after="200" w:line="276" w:lineRule="auto"/>
        <w:jc w:val="both"/>
        <w:rPr>
          <w:color w:val="002060"/>
          <w:sz w:val="26"/>
          <w:szCs w:val="26"/>
          <w:lang w:eastAsia="fr-FR"/>
        </w:rPr>
      </w:pPr>
      <w:r>
        <w:rPr>
          <w:color w:val="002060"/>
          <w:sz w:val="26"/>
          <w:szCs w:val="26"/>
          <w:lang w:eastAsia="fr-FR"/>
        </w:rPr>
        <w:t xml:space="preserve">Dimanche 23 septembre 2018. </w:t>
      </w:r>
    </w:p>
    <w:p w:rsidR="00717A7A" w:rsidRDefault="00717A7A" w:rsidP="00717A7A">
      <w:pPr>
        <w:spacing w:after="200" w:line="276" w:lineRule="auto"/>
        <w:jc w:val="both"/>
        <w:rPr>
          <w:b/>
          <w:bCs/>
          <w:i/>
          <w:iCs/>
          <w:color w:val="333399"/>
          <w:sz w:val="26"/>
          <w:szCs w:val="26"/>
          <w:u w:val="single"/>
          <w:lang w:eastAsia="fr-FR"/>
        </w:rPr>
      </w:pPr>
      <w:r>
        <w:rPr>
          <w:b/>
          <w:bCs/>
          <w:i/>
          <w:iCs/>
          <w:color w:val="333399"/>
          <w:sz w:val="26"/>
          <w:szCs w:val="26"/>
          <w:u w:val="single"/>
          <w:lang w:eastAsia="fr-FR"/>
        </w:rPr>
        <w:t xml:space="preserve">Table-ronde avec les Entreprises candidates </w:t>
      </w:r>
    </w:p>
    <w:p w:rsidR="00717A7A" w:rsidRDefault="00717A7A" w:rsidP="00717A7A">
      <w:pPr>
        <w:spacing w:after="200" w:line="276" w:lineRule="auto"/>
        <w:jc w:val="both"/>
        <w:rPr>
          <w:color w:val="002060"/>
          <w:sz w:val="26"/>
          <w:szCs w:val="26"/>
          <w:lang w:eastAsia="fr-FR"/>
        </w:rPr>
      </w:pPr>
      <w:r>
        <w:rPr>
          <w:color w:val="002060"/>
          <w:sz w:val="26"/>
          <w:szCs w:val="26"/>
          <w:lang w:eastAsia="fr-FR"/>
        </w:rPr>
        <w:t xml:space="preserve">Une Table-ronde sera organisée avec les entreprises candidates </w:t>
      </w:r>
      <w:r>
        <w:rPr>
          <w:b/>
          <w:bCs/>
          <w:color w:val="002060"/>
          <w:sz w:val="26"/>
          <w:szCs w:val="26"/>
          <w:lang w:eastAsia="fr-FR"/>
        </w:rPr>
        <w:t xml:space="preserve">le Jeudi 27 septembre 2018 de 10h00 à 12h00 </w:t>
      </w:r>
      <w:r>
        <w:rPr>
          <w:color w:val="002060"/>
          <w:sz w:val="26"/>
          <w:szCs w:val="26"/>
          <w:lang w:eastAsia="fr-FR"/>
        </w:rPr>
        <w:t>à la Salle des Conférences du CEPEX à la Maison de l’Exportateur (1</w:t>
      </w:r>
      <w:r>
        <w:rPr>
          <w:color w:val="002060"/>
          <w:sz w:val="26"/>
          <w:szCs w:val="26"/>
          <w:vertAlign w:val="superscript"/>
          <w:lang w:eastAsia="fr-FR"/>
        </w:rPr>
        <w:t>er</w:t>
      </w:r>
      <w:r>
        <w:rPr>
          <w:color w:val="002060"/>
          <w:sz w:val="26"/>
          <w:szCs w:val="26"/>
          <w:lang w:eastAsia="fr-FR"/>
        </w:rPr>
        <w:t xml:space="preserve"> étage Salle 01). Il s’agit de présenter en détail le Programme et ses Conditions de Participation.  </w:t>
      </w:r>
    </w:p>
    <w:p w:rsidR="00717A7A" w:rsidRDefault="00717A7A" w:rsidP="00717A7A">
      <w:pPr>
        <w:spacing w:after="200" w:line="276" w:lineRule="auto"/>
        <w:jc w:val="both"/>
        <w:rPr>
          <w:b/>
          <w:bCs/>
          <w:i/>
          <w:iCs/>
          <w:color w:val="333399"/>
          <w:sz w:val="26"/>
          <w:szCs w:val="26"/>
          <w:u w:val="single"/>
          <w:lang w:eastAsia="fr-FR"/>
        </w:rPr>
      </w:pPr>
      <w:r>
        <w:rPr>
          <w:b/>
          <w:bCs/>
          <w:i/>
          <w:iCs/>
          <w:color w:val="333399"/>
          <w:sz w:val="26"/>
          <w:szCs w:val="26"/>
          <w:u w:val="single"/>
          <w:lang w:eastAsia="fr-FR"/>
        </w:rPr>
        <w:t>Sélection Finale des Entreprises Participantes au programme   </w:t>
      </w:r>
    </w:p>
    <w:p w:rsidR="00717A7A" w:rsidRDefault="00717A7A" w:rsidP="00717A7A">
      <w:pPr>
        <w:spacing w:after="200" w:line="276" w:lineRule="auto"/>
        <w:jc w:val="both"/>
        <w:rPr>
          <w:color w:val="002060"/>
          <w:sz w:val="26"/>
          <w:szCs w:val="26"/>
          <w:lang w:eastAsia="fr-FR"/>
        </w:rPr>
      </w:pPr>
      <w:r>
        <w:rPr>
          <w:color w:val="002060"/>
          <w:sz w:val="26"/>
          <w:szCs w:val="26"/>
          <w:lang w:eastAsia="fr-FR"/>
        </w:rPr>
        <w:t xml:space="preserve">Elle est fixée au plus tard pour le 15 octobre 2018. La sélection sera réalisée par un expert professionnel du Programme SIPPO en fonction des normes et exigences des marchés suisse et allemand. </w:t>
      </w:r>
    </w:p>
    <w:p w:rsidR="00717A7A" w:rsidRDefault="00717A7A" w:rsidP="00717A7A">
      <w:pPr>
        <w:spacing w:after="200" w:line="276" w:lineRule="auto"/>
        <w:jc w:val="both"/>
        <w:rPr>
          <w:b/>
          <w:bCs/>
          <w:i/>
          <w:iCs/>
          <w:color w:val="333399"/>
          <w:sz w:val="26"/>
          <w:szCs w:val="26"/>
          <w:lang w:eastAsia="fr-FR"/>
        </w:rPr>
      </w:pPr>
      <w:r>
        <w:rPr>
          <w:b/>
          <w:bCs/>
          <w:i/>
          <w:iCs/>
          <w:color w:val="333399"/>
          <w:sz w:val="26"/>
          <w:szCs w:val="26"/>
          <w:lang w:eastAsia="fr-FR"/>
        </w:rPr>
        <w:t xml:space="preserve">Nombre d’entreprises participantes </w:t>
      </w:r>
    </w:p>
    <w:p w:rsidR="00717A7A" w:rsidRDefault="00717A7A" w:rsidP="00717A7A">
      <w:pPr>
        <w:spacing w:after="200" w:line="276" w:lineRule="auto"/>
        <w:jc w:val="both"/>
        <w:rPr>
          <w:color w:val="002060"/>
          <w:sz w:val="26"/>
          <w:szCs w:val="26"/>
          <w:lang w:eastAsia="fr-FR"/>
        </w:rPr>
      </w:pPr>
      <w:r>
        <w:rPr>
          <w:b/>
          <w:bCs/>
          <w:color w:val="002060"/>
          <w:sz w:val="26"/>
          <w:szCs w:val="26"/>
          <w:u w:val="single"/>
          <w:lang w:eastAsia="fr-FR"/>
        </w:rPr>
        <w:t>06</w:t>
      </w:r>
      <w:r>
        <w:rPr>
          <w:color w:val="002060"/>
          <w:sz w:val="26"/>
          <w:szCs w:val="26"/>
          <w:lang w:eastAsia="fr-FR"/>
        </w:rPr>
        <w:t xml:space="preserve"> entreprises tunisiennes au plus seront sélectionnées pour le programme.   </w:t>
      </w:r>
    </w:p>
    <w:p w:rsidR="00717A7A" w:rsidRDefault="00717A7A" w:rsidP="00717A7A">
      <w:pPr>
        <w:spacing w:after="200" w:line="276" w:lineRule="auto"/>
        <w:jc w:val="both"/>
        <w:rPr>
          <w:b/>
          <w:bCs/>
          <w:i/>
          <w:iCs/>
          <w:color w:val="333399"/>
          <w:sz w:val="26"/>
          <w:szCs w:val="26"/>
          <w:u w:val="single"/>
          <w:lang w:eastAsia="fr-FR"/>
        </w:rPr>
      </w:pPr>
      <w:r>
        <w:rPr>
          <w:b/>
          <w:bCs/>
          <w:i/>
          <w:iCs/>
          <w:color w:val="333399"/>
          <w:sz w:val="26"/>
          <w:szCs w:val="26"/>
          <w:u w:val="single"/>
          <w:lang w:eastAsia="fr-FR"/>
        </w:rPr>
        <w:t>Mission Vendeurs en Suisse et en Allemagne</w:t>
      </w:r>
    </w:p>
    <w:p w:rsidR="00717A7A" w:rsidRDefault="00717A7A" w:rsidP="00717A7A">
      <w:pPr>
        <w:spacing w:after="200" w:line="276" w:lineRule="auto"/>
        <w:jc w:val="both"/>
        <w:rPr>
          <w:color w:val="002060"/>
          <w:sz w:val="26"/>
          <w:szCs w:val="26"/>
          <w:lang w:eastAsia="fr-FR"/>
        </w:rPr>
      </w:pPr>
      <w:r>
        <w:rPr>
          <w:b/>
          <w:bCs/>
          <w:color w:val="002060"/>
          <w:sz w:val="26"/>
          <w:szCs w:val="26"/>
          <w:u w:val="single"/>
          <w:lang w:eastAsia="fr-FR"/>
        </w:rPr>
        <w:t>Date :</w:t>
      </w:r>
      <w:r>
        <w:rPr>
          <w:color w:val="002060"/>
          <w:sz w:val="26"/>
          <w:szCs w:val="26"/>
          <w:lang w:eastAsia="fr-FR"/>
        </w:rPr>
        <w:t xml:space="preserve"> Deuxième quinzaine du mois de Novembre 2018. </w:t>
      </w:r>
    </w:p>
    <w:p w:rsidR="00717A7A" w:rsidRDefault="00717A7A" w:rsidP="00717A7A">
      <w:pPr>
        <w:spacing w:after="200" w:line="276" w:lineRule="auto"/>
        <w:jc w:val="both"/>
        <w:rPr>
          <w:color w:val="002060"/>
          <w:sz w:val="26"/>
          <w:szCs w:val="26"/>
          <w:lang w:eastAsia="fr-FR"/>
        </w:rPr>
      </w:pPr>
      <w:r>
        <w:rPr>
          <w:b/>
          <w:bCs/>
          <w:color w:val="002060"/>
          <w:sz w:val="26"/>
          <w:szCs w:val="26"/>
          <w:u w:val="single"/>
          <w:lang w:eastAsia="fr-FR"/>
        </w:rPr>
        <w:t xml:space="preserve">Programme principal : </w:t>
      </w:r>
      <w:r>
        <w:rPr>
          <w:color w:val="002060"/>
          <w:sz w:val="26"/>
          <w:szCs w:val="26"/>
          <w:lang w:eastAsia="fr-FR"/>
        </w:rPr>
        <w:t>Programme de rendez-vous préétabli avec de grands acheteurs suisses et allemands.</w:t>
      </w:r>
    </w:p>
    <w:p w:rsidR="00717A7A" w:rsidRDefault="00717A7A" w:rsidP="00717A7A">
      <w:pPr>
        <w:spacing w:after="200" w:line="276" w:lineRule="auto"/>
        <w:jc w:val="both"/>
        <w:rPr>
          <w:color w:val="002060"/>
          <w:sz w:val="26"/>
          <w:szCs w:val="26"/>
          <w:lang w:eastAsia="fr-FR"/>
        </w:rPr>
      </w:pPr>
      <w:r>
        <w:rPr>
          <w:b/>
          <w:bCs/>
          <w:color w:val="002060"/>
          <w:sz w:val="26"/>
          <w:szCs w:val="26"/>
          <w:u w:val="single"/>
          <w:lang w:eastAsia="fr-FR"/>
        </w:rPr>
        <w:t>Lieu :</w:t>
      </w:r>
      <w:r>
        <w:rPr>
          <w:color w:val="002060"/>
          <w:sz w:val="26"/>
          <w:szCs w:val="26"/>
          <w:lang w:eastAsia="fr-FR"/>
        </w:rPr>
        <w:t xml:space="preserve"> Suisse et Allemagne.  </w:t>
      </w:r>
    </w:p>
    <w:p w:rsidR="00717A7A" w:rsidRDefault="00717A7A" w:rsidP="00717A7A">
      <w:pPr>
        <w:spacing w:after="200" w:line="276" w:lineRule="auto"/>
        <w:jc w:val="both"/>
        <w:rPr>
          <w:b/>
          <w:bCs/>
          <w:i/>
          <w:iCs/>
          <w:color w:val="333399"/>
          <w:sz w:val="26"/>
          <w:szCs w:val="26"/>
          <w:u w:val="single"/>
          <w:lang w:eastAsia="fr-FR"/>
        </w:rPr>
      </w:pPr>
      <w:r>
        <w:rPr>
          <w:b/>
          <w:bCs/>
          <w:i/>
          <w:iCs/>
          <w:color w:val="333399"/>
          <w:sz w:val="26"/>
          <w:szCs w:val="26"/>
          <w:u w:val="single"/>
          <w:lang w:eastAsia="fr-FR"/>
        </w:rPr>
        <w:t>Candidatures</w:t>
      </w:r>
    </w:p>
    <w:p w:rsidR="00717A7A" w:rsidRDefault="00717A7A" w:rsidP="00717A7A">
      <w:pPr>
        <w:spacing w:after="200" w:line="276" w:lineRule="auto"/>
        <w:jc w:val="both"/>
        <w:rPr>
          <w:color w:val="002060"/>
          <w:lang w:eastAsia="fr-FR"/>
        </w:rPr>
      </w:pPr>
      <w:r>
        <w:rPr>
          <w:color w:val="002060"/>
          <w:sz w:val="26"/>
          <w:szCs w:val="26"/>
          <w:lang w:eastAsia="fr-FR"/>
        </w:rPr>
        <w:t xml:space="preserve">Prière renseigner la </w:t>
      </w:r>
      <w:r w:rsidRPr="00717A7A">
        <w:rPr>
          <w:b/>
          <w:bCs/>
          <w:color w:val="0000CC"/>
          <w:sz w:val="26"/>
          <w:szCs w:val="26"/>
          <w:u w:val="single"/>
          <w:lang w:eastAsia="fr-FR"/>
        </w:rPr>
        <w:t>Fiche de Candidature</w:t>
      </w:r>
      <w:r>
        <w:rPr>
          <w:color w:val="002060"/>
          <w:sz w:val="26"/>
          <w:szCs w:val="26"/>
          <w:lang w:eastAsia="fr-FR"/>
        </w:rPr>
        <w:t xml:space="preserve"> et la renvoyer aux adresses suivantes avant la date limite désignée. </w:t>
      </w:r>
    </w:p>
    <w:p w:rsidR="00717A7A" w:rsidRDefault="00366B1F" w:rsidP="00717A7A">
      <w:pPr>
        <w:spacing w:after="200" w:line="276" w:lineRule="auto"/>
        <w:jc w:val="both"/>
        <w:rPr>
          <w:i/>
          <w:iCs/>
          <w:color w:val="002060"/>
          <w:sz w:val="26"/>
          <w:szCs w:val="26"/>
          <w:lang w:eastAsia="fr-FR"/>
        </w:rPr>
      </w:pPr>
      <w:hyperlink r:id="rId10" w:history="1">
        <w:r w:rsidR="00717A7A">
          <w:rPr>
            <w:rStyle w:val="Lienhypertexte"/>
            <w:i/>
            <w:iCs/>
            <w:sz w:val="26"/>
            <w:szCs w:val="26"/>
            <w:lang w:eastAsia="fr-FR"/>
          </w:rPr>
          <w:t>info@tasdirplus.com</w:t>
        </w:r>
      </w:hyperlink>
      <w:r w:rsidR="00717A7A">
        <w:rPr>
          <w:i/>
          <w:iCs/>
          <w:color w:val="002060"/>
          <w:sz w:val="26"/>
          <w:szCs w:val="26"/>
          <w:lang w:eastAsia="fr-FR"/>
        </w:rPr>
        <w:t xml:space="preserve">  </w:t>
      </w:r>
      <w:r w:rsidR="00717A7A">
        <w:rPr>
          <w:color w:val="002060"/>
          <w:sz w:val="26"/>
          <w:szCs w:val="26"/>
          <w:lang w:eastAsia="fr-FR"/>
        </w:rPr>
        <w:t>et</w:t>
      </w:r>
      <w:r w:rsidR="00DE71D2">
        <w:rPr>
          <w:color w:val="002060"/>
          <w:sz w:val="26"/>
          <w:szCs w:val="26"/>
          <w:lang w:eastAsia="fr-FR"/>
        </w:rPr>
        <w:t> copies</w:t>
      </w:r>
      <w:r w:rsidR="00717A7A">
        <w:rPr>
          <w:color w:val="002060"/>
          <w:sz w:val="26"/>
          <w:szCs w:val="26"/>
          <w:lang w:eastAsia="fr-FR"/>
        </w:rPr>
        <w:t xml:space="preserve"> à</w:t>
      </w:r>
      <w:r w:rsidR="00717A7A">
        <w:rPr>
          <w:i/>
          <w:iCs/>
          <w:color w:val="002060"/>
          <w:sz w:val="26"/>
          <w:szCs w:val="26"/>
          <w:lang w:eastAsia="fr-FR"/>
        </w:rPr>
        <w:t>     </w:t>
      </w:r>
      <w:hyperlink r:id="rId11" w:history="1">
        <w:r w:rsidR="00717A7A">
          <w:rPr>
            <w:rStyle w:val="Lienhypertexte"/>
            <w:i/>
            <w:iCs/>
            <w:sz w:val="26"/>
            <w:szCs w:val="26"/>
            <w:lang w:eastAsia="fr-FR"/>
          </w:rPr>
          <w:t>rbezzarga@tunisiaexport.tn</w:t>
        </w:r>
      </w:hyperlink>
      <w:r w:rsidR="00717A7A">
        <w:rPr>
          <w:i/>
          <w:iCs/>
          <w:color w:val="002060"/>
          <w:sz w:val="26"/>
          <w:szCs w:val="26"/>
          <w:lang w:eastAsia="fr-FR"/>
        </w:rPr>
        <w:t xml:space="preserve">  </w:t>
      </w:r>
      <w:hyperlink r:id="rId12" w:history="1">
        <w:r w:rsidR="00717A7A">
          <w:rPr>
            <w:rStyle w:val="Lienhypertexte"/>
            <w:i/>
            <w:iCs/>
            <w:sz w:val="26"/>
            <w:szCs w:val="26"/>
            <w:lang w:eastAsia="fr-FR"/>
          </w:rPr>
          <w:t>hdenguezli@tunisiaexport.tn</w:t>
        </w:r>
      </w:hyperlink>
      <w:r w:rsidR="00717A7A">
        <w:rPr>
          <w:i/>
          <w:iCs/>
          <w:color w:val="1F497D"/>
          <w:sz w:val="26"/>
          <w:szCs w:val="26"/>
          <w:lang w:eastAsia="fr-FR"/>
        </w:rPr>
        <w:t xml:space="preserve"> </w:t>
      </w:r>
    </w:p>
    <w:p w:rsidR="00717A7A" w:rsidRDefault="00717A7A" w:rsidP="00717A7A">
      <w:pPr>
        <w:spacing w:after="200" w:line="276" w:lineRule="auto"/>
        <w:jc w:val="both"/>
        <w:rPr>
          <w:b/>
          <w:bCs/>
          <w:i/>
          <w:iCs/>
          <w:color w:val="333399"/>
          <w:sz w:val="26"/>
          <w:szCs w:val="26"/>
          <w:u w:val="single"/>
          <w:lang w:eastAsia="fr-FR"/>
        </w:rPr>
      </w:pPr>
      <w:r>
        <w:rPr>
          <w:b/>
          <w:bCs/>
          <w:i/>
          <w:iCs/>
          <w:color w:val="333399"/>
          <w:sz w:val="26"/>
          <w:szCs w:val="26"/>
          <w:u w:val="single"/>
          <w:lang w:eastAsia="fr-FR"/>
        </w:rPr>
        <w:t>Fonds TASDIR+</w:t>
      </w:r>
    </w:p>
    <w:p w:rsidR="00717A7A" w:rsidRDefault="00717A7A" w:rsidP="00717A7A">
      <w:pPr>
        <w:rPr>
          <w:rFonts w:ascii="Constantia" w:hAnsi="Constantia"/>
          <w:b/>
          <w:bCs/>
          <w:color w:val="333399"/>
          <w:sz w:val="24"/>
          <w:szCs w:val="24"/>
          <w:lang w:eastAsia="fr-FR"/>
        </w:rPr>
      </w:pPr>
      <w:r>
        <w:rPr>
          <w:rFonts w:ascii="Constantia" w:hAnsi="Constantia"/>
          <w:b/>
          <w:bCs/>
          <w:color w:val="333399"/>
          <w:sz w:val="24"/>
          <w:szCs w:val="24"/>
          <w:lang w:eastAsia="fr-FR"/>
        </w:rPr>
        <w:t xml:space="preserve">Maison de l’Exportateur Centre Urbain Nord BP 231 -1080- Tunis Cedex.  </w:t>
      </w:r>
    </w:p>
    <w:p w:rsidR="00717A7A" w:rsidRDefault="00717A7A" w:rsidP="00717A7A">
      <w:pPr>
        <w:rPr>
          <w:rFonts w:ascii="Constantia" w:hAnsi="Constantia"/>
          <w:b/>
          <w:bCs/>
          <w:color w:val="1F497D"/>
          <w:sz w:val="24"/>
          <w:szCs w:val="24"/>
          <w:lang w:eastAsia="fr-FR"/>
        </w:rPr>
      </w:pPr>
      <w:r>
        <w:rPr>
          <w:rFonts w:ascii="Constantia" w:hAnsi="Constantia"/>
          <w:b/>
          <w:bCs/>
          <w:color w:val="660066"/>
          <w:sz w:val="24"/>
          <w:szCs w:val="24"/>
          <w:lang w:eastAsia="fr-FR"/>
        </w:rPr>
        <w:t>Mails</w:t>
      </w:r>
      <w:r>
        <w:rPr>
          <w:rFonts w:ascii="Constantia" w:hAnsi="Constantia"/>
          <w:b/>
          <w:bCs/>
          <w:color w:val="333399"/>
          <w:sz w:val="24"/>
          <w:szCs w:val="24"/>
          <w:lang w:eastAsia="fr-FR"/>
        </w:rPr>
        <w:t xml:space="preserve"> </w:t>
      </w:r>
      <w:r>
        <w:rPr>
          <w:rFonts w:ascii="Constantia" w:hAnsi="Constantia"/>
          <w:b/>
          <w:bCs/>
          <w:color w:val="1F4E79"/>
          <w:sz w:val="24"/>
          <w:szCs w:val="24"/>
          <w:lang w:eastAsia="fr-FR"/>
        </w:rPr>
        <w:t>  </w:t>
      </w:r>
      <w:hyperlink r:id="rId13" w:history="1">
        <w:r>
          <w:rPr>
            <w:rStyle w:val="Lienhypertexte"/>
            <w:rFonts w:ascii="Constantia" w:hAnsi="Constantia"/>
            <w:b/>
            <w:bCs/>
            <w:color w:val="0000CC"/>
            <w:sz w:val="24"/>
            <w:szCs w:val="24"/>
            <w:lang w:eastAsia="fr-FR"/>
          </w:rPr>
          <w:t>info@tasdirplus.com</w:t>
        </w:r>
      </w:hyperlink>
      <w:r>
        <w:rPr>
          <w:rFonts w:ascii="Constantia" w:hAnsi="Constantia"/>
          <w:b/>
          <w:bCs/>
          <w:color w:val="1F497D"/>
          <w:sz w:val="24"/>
          <w:szCs w:val="24"/>
          <w:lang w:eastAsia="fr-FR"/>
        </w:rPr>
        <w:t xml:space="preserve">    </w:t>
      </w:r>
      <w:hyperlink r:id="rId14" w:history="1">
        <w:r>
          <w:rPr>
            <w:rStyle w:val="Lienhypertexte"/>
            <w:rFonts w:ascii="Constantia" w:hAnsi="Constantia"/>
            <w:b/>
            <w:bCs/>
            <w:color w:val="0000CC"/>
            <w:sz w:val="24"/>
            <w:szCs w:val="24"/>
            <w:lang w:eastAsia="fr-FR"/>
          </w:rPr>
          <w:t>rbezzarga@tunisiaexport.tn</w:t>
        </w:r>
      </w:hyperlink>
      <w:r>
        <w:rPr>
          <w:rFonts w:ascii="Constantia" w:hAnsi="Constantia"/>
          <w:b/>
          <w:bCs/>
          <w:color w:val="0000CC"/>
          <w:sz w:val="24"/>
          <w:szCs w:val="24"/>
          <w:lang w:eastAsia="fr-FR"/>
        </w:rPr>
        <w:t xml:space="preserve">    </w:t>
      </w:r>
    </w:p>
    <w:p w:rsidR="00717A7A" w:rsidRDefault="00717A7A" w:rsidP="00717A7A">
      <w:pPr>
        <w:rPr>
          <w:rFonts w:ascii="Constantia" w:hAnsi="Constantia"/>
          <w:b/>
          <w:bCs/>
          <w:color w:val="333399"/>
          <w:sz w:val="24"/>
          <w:szCs w:val="24"/>
          <w:lang w:eastAsia="fr-FR"/>
        </w:rPr>
      </w:pPr>
      <w:r>
        <w:rPr>
          <w:rFonts w:ascii="Constantia" w:hAnsi="Constantia"/>
          <w:b/>
          <w:bCs/>
          <w:color w:val="660066"/>
          <w:sz w:val="24"/>
          <w:szCs w:val="24"/>
          <w:lang w:eastAsia="fr-FR"/>
        </w:rPr>
        <w:t xml:space="preserve">Tél </w:t>
      </w:r>
      <w:r>
        <w:rPr>
          <w:rFonts w:ascii="Constantia" w:hAnsi="Constantia"/>
          <w:b/>
          <w:bCs/>
          <w:color w:val="1F4E79"/>
          <w:sz w:val="24"/>
          <w:szCs w:val="24"/>
          <w:lang w:eastAsia="fr-FR"/>
        </w:rPr>
        <w:t>  </w:t>
      </w:r>
      <w:r>
        <w:rPr>
          <w:rFonts w:ascii="Constantia" w:hAnsi="Constantia"/>
          <w:b/>
          <w:bCs/>
          <w:color w:val="003366"/>
          <w:sz w:val="24"/>
          <w:szCs w:val="24"/>
          <w:lang w:eastAsia="fr-FR"/>
        </w:rPr>
        <w:t>+216</w:t>
      </w:r>
      <w:r>
        <w:rPr>
          <w:rFonts w:ascii="Constantia" w:hAnsi="Constantia"/>
          <w:b/>
          <w:bCs/>
          <w:color w:val="1F4E79"/>
          <w:sz w:val="24"/>
          <w:szCs w:val="24"/>
          <w:lang w:eastAsia="fr-FR"/>
        </w:rPr>
        <w:t xml:space="preserve"> </w:t>
      </w:r>
      <w:r>
        <w:rPr>
          <w:rFonts w:ascii="Constantia" w:hAnsi="Constantia"/>
          <w:b/>
          <w:bCs/>
          <w:color w:val="333399"/>
          <w:sz w:val="24"/>
          <w:szCs w:val="24"/>
          <w:lang w:eastAsia="fr-FR"/>
        </w:rPr>
        <w:t xml:space="preserve">71 230 104   </w:t>
      </w:r>
      <w:r>
        <w:rPr>
          <w:rFonts w:ascii="Constantia" w:hAnsi="Constantia"/>
          <w:b/>
          <w:bCs/>
          <w:color w:val="660066"/>
          <w:sz w:val="24"/>
          <w:szCs w:val="24"/>
          <w:lang w:eastAsia="fr-FR"/>
        </w:rPr>
        <w:t>Mob</w:t>
      </w:r>
      <w:r>
        <w:rPr>
          <w:rFonts w:ascii="Constantia" w:hAnsi="Constantia"/>
          <w:b/>
          <w:bCs/>
          <w:color w:val="333399"/>
          <w:sz w:val="24"/>
          <w:szCs w:val="24"/>
          <w:lang w:eastAsia="fr-FR"/>
        </w:rPr>
        <w:t xml:space="preserve"> </w:t>
      </w:r>
      <w:r>
        <w:rPr>
          <w:rFonts w:ascii="Constantia" w:hAnsi="Constantia"/>
          <w:b/>
          <w:bCs/>
          <w:color w:val="003366"/>
          <w:sz w:val="24"/>
          <w:szCs w:val="24"/>
          <w:lang w:eastAsia="fr-FR"/>
        </w:rPr>
        <w:t>+216</w:t>
      </w:r>
      <w:r>
        <w:rPr>
          <w:rFonts w:ascii="Constantia" w:hAnsi="Constantia"/>
          <w:b/>
          <w:bCs/>
          <w:color w:val="333399"/>
          <w:sz w:val="24"/>
          <w:szCs w:val="24"/>
          <w:lang w:eastAsia="fr-FR"/>
        </w:rPr>
        <w:t xml:space="preserve"> 58 400 385   </w:t>
      </w:r>
      <w:r>
        <w:rPr>
          <w:rFonts w:ascii="Constantia" w:hAnsi="Constantia"/>
          <w:b/>
          <w:bCs/>
          <w:color w:val="660066"/>
          <w:sz w:val="24"/>
          <w:szCs w:val="24"/>
          <w:lang w:eastAsia="fr-FR"/>
        </w:rPr>
        <w:t xml:space="preserve">Fax </w:t>
      </w:r>
      <w:r>
        <w:rPr>
          <w:rFonts w:ascii="Constantia" w:hAnsi="Constantia"/>
          <w:b/>
          <w:bCs/>
          <w:color w:val="003366"/>
          <w:sz w:val="24"/>
          <w:szCs w:val="24"/>
          <w:lang w:eastAsia="fr-FR"/>
        </w:rPr>
        <w:t>+216</w:t>
      </w:r>
      <w:r>
        <w:rPr>
          <w:rFonts w:ascii="Constantia" w:hAnsi="Constantia"/>
          <w:b/>
          <w:bCs/>
          <w:color w:val="660066"/>
          <w:sz w:val="24"/>
          <w:szCs w:val="24"/>
          <w:lang w:eastAsia="fr-FR"/>
        </w:rPr>
        <w:t xml:space="preserve"> </w:t>
      </w:r>
      <w:r>
        <w:rPr>
          <w:rFonts w:ascii="Constantia" w:hAnsi="Constantia"/>
          <w:b/>
          <w:bCs/>
          <w:color w:val="333399"/>
          <w:sz w:val="24"/>
          <w:szCs w:val="24"/>
          <w:lang w:eastAsia="fr-FR"/>
        </w:rPr>
        <w:t>70 817 152</w:t>
      </w:r>
    </w:p>
    <w:p w:rsidR="00717A7A" w:rsidRDefault="00717A7A" w:rsidP="00717A7A">
      <w:pPr>
        <w:rPr>
          <w:rFonts w:ascii="Constantia" w:hAnsi="Constantia"/>
          <w:b/>
          <w:bCs/>
          <w:color w:val="333399"/>
          <w:sz w:val="24"/>
          <w:szCs w:val="24"/>
          <w:lang w:val="en-US" w:eastAsia="fr-FR"/>
        </w:rPr>
      </w:pPr>
      <w:r>
        <w:rPr>
          <w:rFonts w:ascii="Constantia" w:hAnsi="Constantia"/>
          <w:b/>
          <w:bCs/>
          <w:color w:val="660066"/>
          <w:sz w:val="24"/>
          <w:szCs w:val="24"/>
          <w:lang w:val="en-US" w:eastAsia="fr-FR"/>
        </w:rPr>
        <w:t>Web</w:t>
      </w:r>
      <w:r>
        <w:rPr>
          <w:rFonts w:ascii="Constantia" w:hAnsi="Constantia"/>
          <w:b/>
          <w:bCs/>
          <w:color w:val="333399"/>
          <w:sz w:val="24"/>
          <w:szCs w:val="24"/>
          <w:lang w:val="en-US" w:eastAsia="fr-FR"/>
        </w:rPr>
        <w:t xml:space="preserve"> </w:t>
      </w:r>
      <w:hyperlink r:id="rId15" w:history="1">
        <w:r>
          <w:rPr>
            <w:rStyle w:val="Lienhypertexte"/>
            <w:rFonts w:ascii="Constantia" w:hAnsi="Constantia"/>
            <w:b/>
            <w:bCs/>
            <w:color w:val="0000CC"/>
            <w:sz w:val="24"/>
            <w:szCs w:val="24"/>
            <w:lang w:val="en-US" w:eastAsia="fr-FR"/>
          </w:rPr>
          <w:t>www.tasdirplus.com</w:t>
        </w:r>
      </w:hyperlink>
      <w:r>
        <w:rPr>
          <w:rFonts w:ascii="Constantia" w:hAnsi="Constantia"/>
          <w:b/>
          <w:bCs/>
          <w:color w:val="0000CC"/>
          <w:sz w:val="24"/>
          <w:szCs w:val="24"/>
          <w:lang w:val="en-US" w:eastAsia="fr-FR"/>
        </w:rPr>
        <w:t xml:space="preserve">      </w:t>
      </w:r>
      <w:hyperlink r:id="rId16" w:history="1">
        <w:r>
          <w:rPr>
            <w:rStyle w:val="Lienhypertexte"/>
            <w:rFonts w:ascii="Constantia" w:hAnsi="Constantia"/>
            <w:b/>
            <w:bCs/>
            <w:color w:val="0000CC"/>
            <w:sz w:val="24"/>
            <w:szCs w:val="24"/>
            <w:lang w:val="en-US" w:eastAsia="fr-FR"/>
          </w:rPr>
          <w:t>www.tunisiaexport.tn</w:t>
        </w:r>
      </w:hyperlink>
      <w:r w:rsidRPr="00717A7A">
        <w:rPr>
          <w:rFonts w:ascii="Constantia" w:hAnsi="Constantia"/>
          <w:b/>
          <w:bCs/>
          <w:color w:val="333399"/>
          <w:sz w:val="24"/>
          <w:szCs w:val="24"/>
          <w:lang w:val="en-US" w:eastAsia="fr-FR"/>
        </w:rPr>
        <w:t xml:space="preserve"> </w:t>
      </w:r>
    </w:p>
    <w:p w:rsidR="00717A7A" w:rsidRPr="00717A7A" w:rsidRDefault="00717A7A">
      <w:pPr>
        <w:rPr>
          <w:lang w:val="en-US"/>
        </w:rPr>
      </w:pPr>
    </w:p>
    <w:sectPr w:rsidR="00717A7A" w:rsidRPr="00717A7A" w:rsidSect="00717A7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A7A"/>
    <w:rsid w:val="00366B1F"/>
    <w:rsid w:val="005B0997"/>
    <w:rsid w:val="00717A7A"/>
    <w:rsid w:val="00DE71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D0BDD-FAA5-4396-8A9C-8A0A869B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A7A"/>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17A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07711">
      <w:bodyDiv w:val="1"/>
      <w:marLeft w:val="0"/>
      <w:marRight w:val="0"/>
      <w:marTop w:val="0"/>
      <w:marBottom w:val="0"/>
      <w:divBdr>
        <w:top w:val="none" w:sz="0" w:space="0" w:color="auto"/>
        <w:left w:val="none" w:sz="0" w:space="0" w:color="auto"/>
        <w:bottom w:val="none" w:sz="0" w:space="0" w:color="auto"/>
        <w:right w:val="none" w:sz="0" w:space="0" w:color="auto"/>
      </w:divBdr>
    </w:div>
    <w:div w:id="16924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nfo@tasdirplus.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4.jpg@01D425C4.C88C6990" TargetMode="External"/><Relationship Id="rId12" Type="http://schemas.openxmlformats.org/officeDocument/2006/relationships/hyperlink" Target="mailto:hdenguezli@tunisiaexport.t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tunisiaexport.tn/"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rbezzarga@tunisiaexport.tn" TargetMode="External"/><Relationship Id="rId5" Type="http://schemas.openxmlformats.org/officeDocument/2006/relationships/image" Target="cid:image002.jpg@01D425C4.C88C6990" TargetMode="External"/><Relationship Id="rId15" Type="http://schemas.openxmlformats.org/officeDocument/2006/relationships/hyperlink" Target="http://www.tasdirplus.com/" TargetMode="External"/><Relationship Id="rId10" Type="http://schemas.openxmlformats.org/officeDocument/2006/relationships/hyperlink" Target="mailto:info@tasdirplus.com" TargetMode="External"/><Relationship Id="rId4" Type="http://schemas.openxmlformats.org/officeDocument/2006/relationships/image" Target="media/image1.jpeg"/><Relationship Id="rId9" Type="http://schemas.openxmlformats.org/officeDocument/2006/relationships/image" Target="cid:image009.png@01D425C4.C88C6990" TargetMode="External"/><Relationship Id="rId14" Type="http://schemas.openxmlformats.org/officeDocument/2006/relationships/hyperlink" Target="mailto:rbezzarga@tunisiaexport.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3190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RIADH BEZZARGA</dc:creator>
  <cp:keywords/>
  <dc:description/>
  <cp:lastModifiedBy>chafik aouel</cp:lastModifiedBy>
  <cp:revision>2</cp:revision>
  <dcterms:created xsi:type="dcterms:W3CDTF">2018-09-04T14:30:00Z</dcterms:created>
  <dcterms:modified xsi:type="dcterms:W3CDTF">2018-09-04T14:30:00Z</dcterms:modified>
</cp:coreProperties>
</file>