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3046"/>
      </w:tblGrid>
      <w:tr w:rsidR="000C7250" w:rsidTr="000C7250">
        <w:trPr>
          <w:trHeight w:val="1576"/>
          <w:jc w:val="center"/>
        </w:trPr>
        <w:tc>
          <w:tcPr>
            <w:tcW w:w="3762" w:type="dxa"/>
          </w:tcPr>
          <w:p w:rsidR="000C7250" w:rsidRPr="00DA2427" w:rsidRDefault="000C7250" w:rsidP="00B07E85">
            <w:pPr>
              <w:rPr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B92D6A" wp14:editId="5C102F58">
                  <wp:extent cx="2251710" cy="1245186"/>
                  <wp:effectExtent l="0" t="0" r="0" b="0"/>
                  <wp:docPr id="2" name="Image 2" descr="cid:image004.jpg@01D425C4.C88C6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id:image004.jpg@01D425C4.C88C6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75" cy="127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</w:tcPr>
          <w:p w:rsidR="000C7250" w:rsidRDefault="000C7250" w:rsidP="00B07E85">
            <w:pPr>
              <w:jc w:val="right"/>
            </w:pPr>
          </w:p>
          <w:p w:rsidR="000C7250" w:rsidRPr="00135492" w:rsidRDefault="00DC3A60" w:rsidP="00B07E85">
            <w:pPr>
              <w:jc w:val="center"/>
            </w:pPr>
            <w:r w:rsidRPr="005A3363">
              <w:rPr>
                <w:noProof/>
                <w:lang w:eastAsia="fr-FR"/>
              </w:rPr>
              <w:drawing>
                <wp:inline distT="0" distB="0" distL="0" distR="0" wp14:anchorId="3C5E9FA0" wp14:editId="151E8D00">
                  <wp:extent cx="1152525" cy="1101239"/>
                  <wp:effectExtent l="0" t="0" r="0" b="0"/>
                  <wp:docPr id="1" name="Image 1" descr="C:\Users\User\Desktop\Nouveau dossier\avat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ouveau dossier\avat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274" cy="117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03" w:rsidRPr="0091088E" w:rsidRDefault="00166903" w:rsidP="00DC3A60">
      <w:pPr>
        <w:jc w:val="center"/>
        <w:rPr>
          <w:rFonts w:ascii="Constantia" w:hAnsi="Constantia"/>
          <w:b/>
          <w:bCs/>
          <w:color w:val="1A001A"/>
          <w:sz w:val="26"/>
          <w:szCs w:val="26"/>
          <w:u w:val="single"/>
        </w:rPr>
      </w:pPr>
      <w:r w:rsidRPr="0091088E">
        <w:rPr>
          <w:rFonts w:ascii="Constantia" w:hAnsi="Constantia"/>
          <w:b/>
          <w:bCs/>
          <w:color w:val="1A001A"/>
          <w:sz w:val="26"/>
          <w:szCs w:val="26"/>
          <w:u w:val="single"/>
        </w:rPr>
        <w:t xml:space="preserve">ACTION TRANSVERSALE </w:t>
      </w:r>
    </w:p>
    <w:p w:rsidR="00DC3A60" w:rsidRPr="00DC3A60" w:rsidRDefault="00DC3A60" w:rsidP="00DC3A60">
      <w:pPr>
        <w:spacing w:after="200" w:line="276" w:lineRule="auto"/>
        <w:jc w:val="center"/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</w:pPr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 xml:space="preserve">OPERATION </w:t>
      </w:r>
      <w:r w:rsidRPr="00DC3A60">
        <w:rPr>
          <w:rFonts w:ascii="Constantia" w:hAnsi="Constantia" w:cs="Times New Roman"/>
          <w:b/>
          <w:bCs/>
          <w:i/>
          <w:iCs/>
          <w:color w:val="2A002A"/>
          <w:sz w:val="28"/>
          <w:szCs w:val="28"/>
          <w:u w:val="single"/>
          <w:lang w:val="en-US" w:eastAsia="fr-FR"/>
        </w:rPr>
        <w:t>«</w:t>
      </w:r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> </w:t>
      </w:r>
      <w:r w:rsidRPr="00DC3A60">
        <w:rPr>
          <w:rFonts w:ascii="Constantia" w:hAnsi="Constantia" w:cs="Times New Roman"/>
          <w:b/>
          <w:bCs/>
          <w:i/>
          <w:iCs/>
          <w:color w:val="920000"/>
          <w:sz w:val="28"/>
          <w:szCs w:val="28"/>
          <w:u w:val="single"/>
          <w:lang w:val="en-US" w:eastAsia="fr-FR"/>
        </w:rPr>
        <w:t>S</w:t>
      </w:r>
      <w:r w:rsidRPr="00DC3A60">
        <w:rPr>
          <w:rFonts w:ascii="Constantia" w:hAnsi="Constantia" w:cs="Times New Roman"/>
          <w:b/>
          <w:bCs/>
          <w:i/>
          <w:iCs/>
          <w:color w:val="C49500"/>
          <w:sz w:val="28"/>
          <w:szCs w:val="28"/>
          <w:u w:val="single"/>
          <w:lang w:val="en-US" w:eastAsia="fr-FR"/>
        </w:rPr>
        <w:t>T</w:t>
      </w:r>
      <w:r w:rsidRPr="00DC3A60">
        <w:rPr>
          <w:rFonts w:ascii="Constantia" w:hAnsi="Constantia" w:cs="Times New Roman"/>
          <w:b/>
          <w:bCs/>
          <w:i/>
          <w:iCs/>
          <w:color w:val="3366CC"/>
          <w:sz w:val="28"/>
          <w:szCs w:val="28"/>
          <w:u w:val="single"/>
          <w:lang w:val="en-US" w:eastAsia="fr-FR"/>
        </w:rPr>
        <w:t>A</w:t>
      </w:r>
      <w:r w:rsidRPr="00DC3A60">
        <w:rPr>
          <w:rFonts w:ascii="Constantia" w:hAnsi="Constantia" w:cs="Times New Roman"/>
          <w:b/>
          <w:bCs/>
          <w:i/>
          <w:iCs/>
          <w:color w:val="92D050"/>
          <w:sz w:val="28"/>
          <w:szCs w:val="28"/>
          <w:u w:val="single"/>
          <w:lang w:val="en-US" w:eastAsia="fr-FR"/>
        </w:rPr>
        <w:t>R</w:t>
      </w:r>
      <w:r w:rsidRPr="00DC3A60">
        <w:rPr>
          <w:rFonts w:ascii="Constantia" w:hAnsi="Constantia" w:cs="Times New Roman"/>
          <w:b/>
          <w:bCs/>
          <w:i/>
          <w:iCs/>
          <w:color w:val="8A3CC4"/>
          <w:sz w:val="28"/>
          <w:szCs w:val="28"/>
          <w:u w:val="single"/>
          <w:lang w:val="en-US" w:eastAsia="fr-FR"/>
        </w:rPr>
        <w:t>T</w:t>
      </w:r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 xml:space="preserve"> </w:t>
      </w:r>
      <w:proofErr w:type="gramStart"/>
      <w:r w:rsidRPr="00DC3A60">
        <w:rPr>
          <w:rFonts w:ascii="Constantia" w:hAnsi="Constantia" w:cs="Times New Roman"/>
          <w:b/>
          <w:bCs/>
          <w:color w:val="3366CC"/>
          <w:sz w:val="28"/>
          <w:szCs w:val="28"/>
          <w:u w:val="single"/>
          <w:lang w:val="en-US" w:eastAsia="fr-FR"/>
        </w:rPr>
        <w:t>U</w:t>
      </w:r>
      <w:r w:rsidRPr="00DC3A60">
        <w:rPr>
          <w:rFonts w:ascii="Constantia" w:hAnsi="Constantia" w:cs="Times New Roman"/>
          <w:b/>
          <w:bCs/>
          <w:color w:val="C49500"/>
          <w:sz w:val="28"/>
          <w:szCs w:val="28"/>
          <w:u w:val="single"/>
          <w:lang w:val="en-US" w:eastAsia="fr-FR"/>
        </w:rPr>
        <w:t>P</w:t>
      </w:r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 xml:space="preserve">  </w:t>
      </w:r>
      <w:r w:rsidRPr="00DC3A60">
        <w:rPr>
          <w:rFonts w:ascii="Constantia" w:hAnsi="Constantia" w:cs="Times New Roman"/>
          <w:b/>
          <w:bCs/>
          <w:i/>
          <w:iCs/>
          <w:color w:val="920000"/>
          <w:sz w:val="28"/>
          <w:szCs w:val="28"/>
          <w:u w:val="single"/>
          <w:lang w:val="en-US" w:eastAsia="fr-FR"/>
        </w:rPr>
        <w:t>O</w:t>
      </w:r>
      <w:r w:rsidRPr="00DC3A60">
        <w:rPr>
          <w:rFonts w:ascii="Constantia" w:hAnsi="Constantia" w:cs="Times New Roman"/>
          <w:b/>
          <w:bCs/>
          <w:i/>
          <w:iCs/>
          <w:color w:val="8A3CC4"/>
          <w:sz w:val="28"/>
          <w:szCs w:val="28"/>
          <w:u w:val="single"/>
          <w:lang w:val="en-US" w:eastAsia="fr-FR"/>
        </w:rPr>
        <w:t>V</w:t>
      </w:r>
      <w:r w:rsidRPr="00DC3A60">
        <w:rPr>
          <w:rFonts w:ascii="Constantia" w:hAnsi="Constantia" w:cs="Times New Roman"/>
          <w:b/>
          <w:bCs/>
          <w:i/>
          <w:iCs/>
          <w:color w:val="3366CC"/>
          <w:sz w:val="28"/>
          <w:szCs w:val="28"/>
          <w:u w:val="single"/>
          <w:lang w:val="en-US" w:eastAsia="fr-FR"/>
        </w:rPr>
        <w:t>E</w:t>
      </w:r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>R</w:t>
      </w:r>
      <w:r w:rsidRPr="00DC3A60">
        <w:rPr>
          <w:rFonts w:ascii="Constantia" w:hAnsi="Constantia" w:cs="Times New Roman"/>
          <w:b/>
          <w:bCs/>
          <w:i/>
          <w:iCs/>
          <w:color w:val="C49500"/>
          <w:sz w:val="28"/>
          <w:szCs w:val="28"/>
          <w:u w:val="single"/>
          <w:lang w:val="en-US" w:eastAsia="fr-FR"/>
        </w:rPr>
        <w:t>S</w:t>
      </w:r>
      <w:r w:rsidRPr="00DC3A60">
        <w:rPr>
          <w:rFonts w:ascii="Constantia" w:hAnsi="Constantia" w:cs="Times New Roman"/>
          <w:b/>
          <w:bCs/>
          <w:i/>
          <w:iCs/>
          <w:color w:val="92D050"/>
          <w:sz w:val="28"/>
          <w:szCs w:val="28"/>
          <w:u w:val="single"/>
          <w:lang w:val="en-US" w:eastAsia="fr-FR"/>
        </w:rPr>
        <w:t>E</w:t>
      </w:r>
      <w:r w:rsidRPr="00DC3A60">
        <w:rPr>
          <w:rFonts w:ascii="Constantia" w:hAnsi="Constantia" w:cs="Times New Roman"/>
          <w:b/>
          <w:bCs/>
          <w:i/>
          <w:iCs/>
          <w:color w:val="920000"/>
          <w:sz w:val="28"/>
          <w:szCs w:val="28"/>
          <w:u w:val="single"/>
          <w:lang w:val="en-US" w:eastAsia="fr-FR"/>
        </w:rPr>
        <w:t>A</w:t>
      </w:r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>S</w:t>
      </w:r>
      <w:proofErr w:type="gramEnd"/>
      <w:r w:rsidRPr="00DC3A60">
        <w:rPr>
          <w:rFonts w:ascii="Constantia" w:hAnsi="Constantia" w:cs="Times New Roman"/>
          <w:b/>
          <w:bCs/>
          <w:i/>
          <w:iCs/>
          <w:color w:val="333399"/>
          <w:sz w:val="28"/>
          <w:szCs w:val="28"/>
          <w:u w:val="single"/>
          <w:lang w:val="en-US" w:eastAsia="fr-FR"/>
        </w:rPr>
        <w:t> </w:t>
      </w:r>
      <w:r w:rsidRPr="00DC3A60">
        <w:rPr>
          <w:rFonts w:ascii="Constantia" w:hAnsi="Constantia" w:cs="Times New Roman"/>
          <w:b/>
          <w:bCs/>
          <w:i/>
          <w:iCs/>
          <w:color w:val="2A002A"/>
          <w:sz w:val="28"/>
          <w:szCs w:val="28"/>
          <w:u w:val="single"/>
          <w:lang w:val="en-US" w:eastAsia="fr-FR"/>
        </w:rPr>
        <w:t>»</w:t>
      </w:r>
    </w:p>
    <w:p w:rsidR="000C7250" w:rsidRPr="00DC3A60" w:rsidRDefault="000C7250" w:rsidP="000C7250">
      <w:pPr>
        <w:jc w:val="center"/>
        <w:rPr>
          <w:rFonts w:ascii="Constantia" w:hAnsi="Constantia"/>
          <w:b/>
          <w:bCs/>
          <w:color w:val="333399"/>
          <w:sz w:val="26"/>
          <w:szCs w:val="26"/>
          <w:u w:val="single"/>
          <w:lang w:val="en-US"/>
        </w:rPr>
      </w:pPr>
      <w:r w:rsidRPr="00DC3A60">
        <w:rPr>
          <w:rFonts w:ascii="Constantia" w:hAnsi="Constantia"/>
          <w:b/>
          <w:bCs/>
          <w:color w:val="333399"/>
          <w:sz w:val="26"/>
          <w:szCs w:val="26"/>
          <w:u w:val="single"/>
          <w:lang w:val="en-US"/>
        </w:rPr>
        <w:t xml:space="preserve">ELIGIBILITE &amp; SELECTION DES CANDIDATS  </w:t>
      </w:r>
    </w:p>
    <w:p w:rsidR="00166903" w:rsidRPr="00DC3A60" w:rsidRDefault="00166903" w:rsidP="00DC3A60">
      <w:pPr>
        <w:spacing w:after="0"/>
        <w:jc w:val="center"/>
        <w:rPr>
          <w:rFonts w:ascii="Constantia" w:hAnsi="Constantia"/>
          <w:b/>
          <w:bCs/>
          <w:color w:val="333399"/>
          <w:sz w:val="16"/>
          <w:szCs w:val="16"/>
          <w:u w:val="single"/>
          <w:lang w:val="en-US"/>
        </w:rPr>
      </w:pPr>
    </w:p>
    <w:p w:rsidR="00615652" w:rsidRPr="00166903" w:rsidRDefault="00615652" w:rsidP="00166903">
      <w:pPr>
        <w:jc w:val="both"/>
        <w:rPr>
          <w:rFonts w:ascii="Constantia" w:hAnsi="Constantia"/>
          <w:b/>
          <w:bCs/>
          <w:color w:val="333399"/>
          <w:sz w:val="28"/>
          <w:szCs w:val="28"/>
          <w:u w:val="single"/>
        </w:rPr>
      </w:pPr>
      <w:r w:rsidRPr="00166903">
        <w:rPr>
          <w:rFonts w:ascii="Constantia" w:hAnsi="Constantia"/>
          <w:b/>
          <w:bCs/>
          <w:color w:val="333399"/>
          <w:sz w:val="28"/>
          <w:szCs w:val="28"/>
          <w:u w:val="single"/>
        </w:rPr>
        <w:t xml:space="preserve">Processus d’adhésion à l’action transversale  </w:t>
      </w:r>
    </w:p>
    <w:p w:rsidR="00615652" w:rsidRPr="00166903" w:rsidRDefault="00166903" w:rsidP="00166903">
      <w:pPr>
        <w:jc w:val="both"/>
        <w:rPr>
          <w:rFonts w:ascii="Constantia" w:hAnsi="Constantia"/>
          <w:b/>
          <w:bCs/>
          <w:color w:val="0000CC"/>
          <w:sz w:val="24"/>
          <w:szCs w:val="24"/>
        </w:rPr>
      </w:pPr>
      <w:r w:rsidRPr="00166903">
        <w:rPr>
          <w:rFonts w:ascii="Constantia" w:hAnsi="Constantia"/>
          <w:b/>
          <w:bCs/>
          <w:color w:val="0000CC"/>
          <w:sz w:val="24"/>
          <w:szCs w:val="24"/>
        </w:rPr>
        <w:t xml:space="preserve">1- </w:t>
      </w:r>
      <w:r w:rsidR="00615652" w:rsidRPr="00166903">
        <w:rPr>
          <w:rFonts w:ascii="Constantia" w:hAnsi="Constantia"/>
          <w:b/>
          <w:bCs/>
          <w:color w:val="0000CC"/>
          <w:sz w:val="24"/>
          <w:szCs w:val="24"/>
        </w:rPr>
        <w:t>Dépôt des candidatures avant la date limite fixée</w:t>
      </w:r>
    </w:p>
    <w:p w:rsidR="00615652" w:rsidRPr="00166903" w:rsidRDefault="00166903" w:rsidP="00166903">
      <w:pPr>
        <w:jc w:val="both"/>
        <w:rPr>
          <w:rFonts w:ascii="Constantia" w:hAnsi="Constantia"/>
          <w:b/>
          <w:bCs/>
          <w:color w:val="0000CC"/>
          <w:sz w:val="24"/>
          <w:szCs w:val="24"/>
        </w:rPr>
      </w:pPr>
      <w:r w:rsidRPr="00166903">
        <w:rPr>
          <w:rFonts w:ascii="Constantia" w:hAnsi="Constantia"/>
          <w:b/>
          <w:bCs/>
          <w:color w:val="0000CC"/>
          <w:sz w:val="24"/>
          <w:szCs w:val="24"/>
        </w:rPr>
        <w:t>2- Processus de Sélection des candidats</w:t>
      </w:r>
    </w:p>
    <w:p w:rsidR="00166903" w:rsidRPr="00166903" w:rsidRDefault="00166903" w:rsidP="00166903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Vérification de l’éligibilité de l’entreprise </w:t>
      </w:r>
    </w:p>
    <w:p w:rsidR="00166903" w:rsidRPr="00166903" w:rsidRDefault="00166903" w:rsidP="00166903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>Entretien direct avec le premier responsable de l’entreprise (dans la semaine qui suit la date limite du dépôt des candidatures)</w:t>
      </w:r>
    </w:p>
    <w:p w:rsidR="00166903" w:rsidRPr="00166903" w:rsidRDefault="00166903" w:rsidP="00166903">
      <w:pPr>
        <w:pStyle w:val="Paragraphedeliste"/>
        <w:numPr>
          <w:ilvl w:val="0"/>
          <w:numId w:val="3"/>
        </w:num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Annonce des résultats : Sélection ou non de l’entreprise (dans les 10 jours suivent la date limite de la remise des candidatures)    </w:t>
      </w:r>
    </w:p>
    <w:p w:rsidR="008E54C0" w:rsidRPr="00166903" w:rsidRDefault="008E54C0" w:rsidP="00166903">
      <w:pPr>
        <w:jc w:val="both"/>
        <w:rPr>
          <w:rFonts w:ascii="Constantia" w:hAnsi="Constantia"/>
          <w:b/>
          <w:bCs/>
          <w:color w:val="333399"/>
          <w:sz w:val="28"/>
          <w:szCs w:val="28"/>
          <w:u w:val="single"/>
        </w:rPr>
      </w:pPr>
      <w:r w:rsidRPr="00166903">
        <w:rPr>
          <w:rFonts w:ascii="Constantia" w:hAnsi="Constantia"/>
          <w:b/>
          <w:bCs/>
          <w:color w:val="333399"/>
          <w:sz w:val="28"/>
          <w:szCs w:val="28"/>
          <w:u w:val="single"/>
        </w:rPr>
        <w:t xml:space="preserve">Critères d’éligibilité  </w:t>
      </w:r>
    </w:p>
    <w:p w:rsidR="00DC3A60" w:rsidRPr="00DC3A60" w:rsidRDefault="00DC3A60" w:rsidP="00DC3A60">
      <w:pPr>
        <w:jc w:val="both"/>
        <w:rPr>
          <w:rFonts w:ascii="Constantia" w:hAnsi="Constantia"/>
          <w:bCs/>
          <w:color w:val="002060"/>
          <w:sz w:val="24"/>
          <w:szCs w:val="24"/>
        </w:rPr>
      </w:pPr>
      <w:r w:rsidRPr="00DC3A60">
        <w:rPr>
          <w:rFonts w:ascii="Constantia" w:hAnsi="Constantia"/>
          <w:bCs/>
          <w:color w:val="002060"/>
          <w:sz w:val="24"/>
          <w:szCs w:val="24"/>
        </w:rPr>
        <w:t xml:space="preserve">Cet appel à candidature concerne les Start </w:t>
      </w:r>
      <w:proofErr w:type="spellStart"/>
      <w:r w:rsidRPr="00DC3A60">
        <w:rPr>
          <w:rFonts w:ascii="Constantia" w:hAnsi="Constantia"/>
          <w:bCs/>
          <w:color w:val="002060"/>
          <w:sz w:val="24"/>
          <w:szCs w:val="24"/>
        </w:rPr>
        <w:t>Ups</w:t>
      </w:r>
      <w:proofErr w:type="spellEnd"/>
      <w:r w:rsidRPr="00DC3A60">
        <w:rPr>
          <w:rFonts w:ascii="Constantia" w:hAnsi="Constantia"/>
          <w:bCs/>
          <w:color w:val="002060"/>
          <w:sz w:val="24"/>
          <w:szCs w:val="24"/>
        </w:rPr>
        <w:t xml:space="preserve"> qui réunissent les critères suivants :</w:t>
      </w:r>
    </w:p>
    <w:p w:rsidR="00DC3A60" w:rsidRPr="00DC3A60" w:rsidRDefault="00DC3A60" w:rsidP="00DC3A60">
      <w:pPr>
        <w:numPr>
          <w:ilvl w:val="0"/>
          <w:numId w:val="6"/>
        </w:numPr>
        <w:spacing w:line="276" w:lineRule="auto"/>
        <w:jc w:val="both"/>
        <w:rPr>
          <w:rFonts w:ascii="Constantia" w:hAnsi="Constantia"/>
          <w:bCs/>
          <w:color w:val="002060"/>
          <w:sz w:val="24"/>
          <w:szCs w:val="24"/>
        </w:rPr>
      </w:pPr>
      <w:r w:rsidRPr="00DC3A60">
        <w:rPr>
          <w:rFonts w:ascii="Constantia" w:hAnsi="Constantia"/>
          <w:bCs/>
          <w:color w:val="002060"/>
          <w:sz w:val="24"/>
          <w:szCs w:val="24"/>
        </w:rPr>
        <w:t xml:space="preserve">Innovantes et Exportables </w:t>
      </w:r>
    </w:p>
    <w:p w:rsidR="00DC3A60" w:rsidRPr="00DC3A60" w:rsidRDefault="00DC3A60" w:rsidP="00DC3A60">
      <w:pPr>
        <w:numPr>
          <w:ilvl w:val="0"/>
          <w:numId w:val="6"/>
        </w:numPr>
        <w:spacing w:line="276" w:lineRule="auto"/>
        <w:jc w:val="both"/>
        <w:rPr>
          <w:rFonts w:ascii="Constantia" w:hAnsi="Constantia"/>
          <w:bCs/>
          <w:color w:val="002060"/>
          <w:sz w:val="24"/>
          <w:szCs w:val="24"/>
        </w:rPr>
      </w:pPr>
      <w:r w:rsidRPr="00DC3A60">
        <w:rPr>
          <w:rFonts w:ascii="Constantia" w:hAnsi="Constantia"/>
          <w:bCs/>
          <w:color w:val="002060"/>
          <w:sz w:val="24"/>
          <w:szCs w:val="24"/>
        </w:rPr>
        <w:t>Présentant un fort potentiel de croissance dans un domaine précurseur</w:t>
      </w:r>
    </w:p>
    <w:p w:rsidR="00DC3A60" w:rsidRPr="00DC3A60" w:rsidRDefault="00DC3A60" w:rsidP="00DC3A60">
      <w:pPr>
        <w:numPr>
          <w:ilvl w:val="0"/>
          <w:numId w:val="6"/>
        </w:numPr>
        <w:spacing w:line="276" w:lineRule="auto"/>
        <w:jc w:val="both"/>
        <w:rPr>
          <w:rFonts w:ascii="Constantia" w:hAnsi="Constantia"/>
          <w:bCs/>
          <w:color w:val="002060"/>
          <w:sz w:val="24"/>
          <w:szCs w:val="24"/>
        </w:rPr>
      </w:pPr>
      <w:r w:rsidRPr="00DC3A60">
        <w:rPr>
          <w:rFonts w:ascii="Constantia" w:hAnsi="Constantia"/>
          <w:bCs/>
          <w:color w:val="002060"/>
          <w:sz w:val="24"/>
          <w:szCs w:val="24"/>
        </w:rPr>
        <w:t xml:space="preserve">En phase de production ou de croissance </w:t>
      </w:r>
    </w:p>
    <w:p w:rsidR="00DC3A60" w:rsidRPr="00DC3A60" w:rsidRDefault="00DC3A60" w:rsidP="00DC3A60">
      <w:pPr>
        <w:numPr>
          <w:ilvl w:val="0"/>
          <w:numId w:val="6"/>
        </w:numPr>
        <w:spacing w:line="276" w:lineRule="auto"/>
        <w:jc w:val="both"/>
        <w:rPr>
          <w:rFonts w:ascii="Constantia" w:hAnsi="Constantia"/>
          <w:bCs/>
          <w:color w:val="002060"/>
          <w:sz w:val="24"/>
          <w:szCs w:val="24"/>
        </w:rPr>
      </w:pPr>
      <w:r w:rsidRPr="00DC3A60">
        <w:rPr>
          <w:rFonts w:ascii="Constantia" w:hAnsi="Constantia"/>
          <w:bCs/>
          <w:color w:val="002060"/>
          <w:sz w:val="24"/>
          <w:szCs w:val="24"/>
        </w:rPr>
        <w:t>Disposant à la date de candidature d’au moins un exercice financier.</w:t>
      </w:r>
    </w:p>
    <w:p w:rsidR="00DC3A60" w:rsidRPr="00DC3A60" w:rsidRDefault="00DC3A60" w:rsidP="00DC3A60">
      <w:pPr>
        <w:numPr>
          <w:ilvl w:val="0"/>
          <w:numId w:val="6"/>
        </w:numPr>
        <w:spacing w:line="276" w:lineRule="auto"/>
        <w:jc w:val="both"/>
        <w:rPr>
          <w:rFonts w:ascii="Constantia" w:hAnsi="Constantia"/>
          <w:bCs/>
          <w:color w:val="002060"/>
          <w:sz w:val="24"/>
          <w:szCs w:val="24"/>
        </w:rPr>
      </w:pPr>
      <w:r w:rsidRPr="00DC3A60">
        <w:rPr>
          <w:rFonts w:ascii="Constantia" w:hAnsi="Constantia"/>
          <w:bCs/>
          <w:color w:val="002060"/>
          <w:sz w:val="24"/>
          <w:szCs w:val="24"/>
        </w:rPr>
        <w:t xml:space="preserve">Disposant d’un Business plan visant l’international. </w:t>
      </w:r>
    </w:p>
    <w:p w:rsidR="00615652" w:rsidRPr="00166903" w:rsidRDefault="00166903" w:rsidP="00166903">
      <w:pPr>
        <w:jc w:val="both"/>
        <w:rPr>
          <w:rFonts w:ascii="Constantia" w:hAnsi="Constantia"/>
          <w:b/>
          <w:bCs/>
          <w:color w:val="333399"/>
          <w:sz w:val="28"/>
          <w:szCs w:val="28"/>
        </w:rPr>
      </w:pPr>
      <w:r w:rsidRPr="00166903">
        <w:rPr>
          <w:rFonts w:ascii="Constantia" w:hAnsi="Constantia"/>
          <w:b/>
          <w:bCs/>
          <w:color w:val="333399"/>
          <w:sz w:val="28"/>
          <w:szCs w:val="28"/>
        </w:rPr>
        <w:t xml:space="preserve">Entretien avec l’entreprise candidate </w:t>
      </w:r>
    </w:p>
    <w:p w:rsidR="00615652" w:rsidRPr="00166903" w:rsidRDefault="00145E4D" w:rsidP="00DB599B">
      <w:p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En cas d’éligibilité, l’entreprise candidate serait appelée pour un entretien avec le porteur de projet </w:t>
      </w:r>
      <w:r w:rsidR="00974622">
        <w:rPr>
          <w:rFonts w:ascii="Constantia" w:hAnsi="Constantia"/>
          <w:color w:val="002060"/>
          <w:sz w:val="24"/>
          <w:szCs w:val="24"/>
        </w:rPr>
        <w:t>BCA</w:t>
      </w:r>
      <w:r w:rsidRPr="00166903">
        <w:rPr>
          <w:rFonts w:ascii="Constantia" w:hAnsi="Constantia"/>
          <w:color w:val="002060"/>
          <w:sz w:val="24"/>
          <w:szCs w:val="24"/>
        </w:rPr>
        <w:t xml:space="preserve"> pour une présentation plus détaillée de l’entreprise et ses ambitions pour le marché subsaharien notamment les 5 pays cibles du programme.</w:t>
      </w:r>
      <w:r w:rsidR="00615652" w:rsidRPr="00166903">
        <w:rPr>
          <w:rFonts w:ascii="Constantia" w:hAnsi="Constantia"/>
          <w:color w:val="002060"/>
          <w:sz w:val="24"/>
          <w:szCs w:val="24"/>
        </w:rPr>
        <w:t xml:space="preserve"> </w:t>
      </w:r>
    </w:p>
    <w:p w:rsidR="00615652" w:rsidRPr="00166903" w:rsidRDefault="00615652" w:rsidP="00166903">
      <w:p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L’entreprise candidate devra également démontrer sa compréhension du projet et ses ambitions et assurer </w:t>
      </w:r>
      <w:bookmarkStart w:id="0" w:name="_GoBack"/>
      <w:bookmarkEnd w:id="0"/>
      <w:r w:rsidRPr="00166903">
        <w:rPr>
          <w:rFonts w:ascii="Constantia" w:hAnsi="Constantia"/>
          <w:color w:val="002060"/>
          <w:sz w:val="24"/>
          <w:szCs w:val="24"/>
        </w:rPr>
        <w:t>aux initiateurs du projet sa volonté et sa capacité à l’intégrer.</w:t>
      </w:r>
    </w:p>
    <w:p w:rsidR="00145E4D" w:rsidRPr="00166903" w:rsidRDefault="00615652" w:rsidP="00DB599B">
      <w:p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 xml:space="preserve">Le Fonds TASDIR+ et le porteur de projet </w:t>
      </w:r>
      <w:r w:rsidR="00974622">
        <w:rPr>
          <w:rFonts w:ascii="Constantia" w:hAnsi="Constantia"/>
          <w:color w:val="002060"/>
          <w:sz w:val="24"/>
          <w:szCs w:val="24"/>
        </w:rPr>
        <w:t>BCA</w:t>
      </w:r>
      <w:r w:rsidRPr="00166903">
        <w:rPr>
          <w:rFonts w:ascii="Constantia" w:hAnsi="Constantia"/>
          <w:color w:val="002060"/>
          <w:sz w:val="24"/>
          <w:szCs w:val="24"/>
        </w:rPr>
        <w:t xml:space="preserve"> devant s’assurer de la prédisposition des candidats à intégrer le programme pour sa bonne mise en œuvre et sa réussite.    </w:t>
      </w:r>
    </w:p>
    <w:p w:rsidR="00615652" w:rsidRPr="00166903" w:rsidRDefault="00615652" w:rsidP="00166903">
      <w:pPr>
        <w:jc w:val="both"/>
        <w:rPr>
          <w:rFonts w:ascii="Constantia" w:hAnsi="Constantia"/>
          <w:b/>
          <w:bCs/>
          <w:color w:val="333399"/>
          <w:sz w:val="28"/>
          <w:szCs w:val="28"/>
        </w:rPr>
      </w:pPr>
      <w:r w:rsidRPr="00166903">
        <w:rPr>
          <w:rFonts w:ascii="Constantia" w:hAnsi="Constantia"/>
          <w:b/>
          <w:bCs/>
          <w:color w:val="333399"/>
          <w:sz w:val="28"/>
          <w:szCs w:val="28"/>
        </w:rPr>
        <w:t>Sélection des entreprises</w:t>
      </w:r>
    </w:p>
    <w:p w:rsidR="00145E4D" w:rsidRPr="00166903" w:rsidRDefault="00145E4D" w:rsidP="00166903">
      <w:pPr>
        <w:jc w:val="both"/>
        <w:rPr>
          <w:rFonts w:ascii="Constantia" w:hAnsi="Constantia"/>
          <w:color w:val="002060"/>
          <w:sz w:val="24"/>
          <w:szCs w:val="24"/>
        </w:rPr>
      </w:pPr>
      <w:r w:rsidRPr="00166903">
        <w:rPr>
          <w:rFonts w:ascii="Constantia" w:hAnsi="Constantia"/>
          <w:color w:val="002060"/>
          <w:sz w:val="24"/>
          <w:szCs w:val="24"/>
        </w:rPr>
        <w:t>Les entreprises qui répondent aux critères d’éligibilité et qui</w:t>
      </w:r>
      <w:r w:rsidR="00166903">
        <w:rPr>
          <w:rFonts w:ascii="Constantia" w:hAnsi="Constantia"/>
          <w:color w:val="002060"/>
          <w:sz w:val="24"/>
          <w:szCs w:val="24"/>
        </w:rPr>
        <w:t xml:space="preserve"> justifient leur volonté, possibilité et capacité d’intégrer le projet seront sélectionnées.  </w:t>
      </w:r>
      <w:r w:rsidRPr="00166903">
        <w:rPr>
          <w:rFonts w:ascii="Constantia" w:hAnsi="Constantia"/>
          <w:color w:val="002060"/>
          <w:sz w:val="24"/>
          <w:szCs w:val="24"/>
        </w:rPr>
        <w:t xml:space="preserve"> </w:t>
      </w:r>
    </w:p>
    <w:sectPr w:rsidR="00145E4D" w:rsidRPr="00166903" w:rsidSect="002212F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A80"/>
    <w:multiLevelType w:val="hybridMultilevel"/>
    <w:tmpl w:val="B28E6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371"/>
    <w:multiLevelType w:val="hybridMultilevel"/>
    <w:tmpl w:val="C450C806"/>
    <w:lvl w:ilvl="0" w:tplc="5A3867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9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69F6"/>
    <w:multiLevelType w:val="hybridMultilevel"/>
    <w:tmpl w:val="57D4DC0C"/>
    <w:lvl w:ilvl="0" w:tplc="B1DAA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5774"/>
    <w:multiLevelType w:val="hybridMultilevel"/>
    <w:tmpl w:val="A874F07E"/>
    <w:lvl w:ilvl="0" w:tplc="97DC3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5172"/>
    <w:multiLevelType w:val="hybridMultilevel"/>
    <w:tmpl w:val="95FC47E8"/>
    <w:lvl w:ilvl="0" w:tplc="0948937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00CC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6815DF"/>
    <w:multiLevelType w:val="hybridMultilevel"/>
    <w:tmpl w:val="7B76E2E4"/>
    <w:lvl w:ilvl="0" w:tplc="B1DAA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C0"/>
    <w:rsid w:val="000C7250"/>
    <w:rsid w:val="00145E4D"/>
    <w:rsid w:val="00166903"/>
    <w:rsid w:val="002212F3"/>
    <w:rsid w:val="003D402A"/>
    <w:rsid w:val="00615652"/>
    <w:rsid w:val="006B1E82"/>
    <w:rsid w:val="00884E6F"/>
    <w:rsid w:val="008B4C97"/>
    <w:rsid w:val="008E54C0"/>
    <w:rsid w:val="0091088E"/>
    <w:rsid w:val="00974622"/>
    <w:rsid w:val="00B638B9"/>
    <w:rsid w:val="00B70EA8"/>
    <w:rsid w:val="00DB599B"/>
    <w:rsid w:val="00DC3A6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D17"/>
  <w15:chartTrackingRefBased/>
  <w15:docId w15:val="{33F5CAF3-381B-4667-BB44-9021F01B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4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C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425C4.C88C69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RIADH BEZZARGA</dc:creator>
  <cp:keywords/>
  <dc:description/>
  <cp:lastModifiedBy>Eya Tborski</cp:lastModifiedBy>
  <cp:revision>4</cp:revision>
  <cp:lastPrinted>2019-05-31T13:48:00Z</cp:lastPrinted>
  <dcterms:created xsi:type="dcterms:W3CDTF">2019-09-02T15:16:00Z</dcterms:created>
  <dcterms:modified xsi:type="dcterms:W3CDTF">2019-09-03T16:11:00Z</dcterms:modified>
</cp:coreProperties>
</file>