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sz w:val="72"/>
          <w:szCs w:val="72"/>
          <w:lang w:eastAsia="fr-FR"/>
        </w:rPr>
        <w:id w:val="718287760"/>
        <w:docPartObj>
          <w:docPartGallery w:val="Cover Pages"/>
          <w:docPartUnique/>
        </w:docPartObj>
      </w:sdtPr>
      <w:sdtEndPr>
        <w:rPr>
          <w:rFonts w:ascii="Times New Roman" w:eastAsia="Times New Roman" w:hAnsi="Times New Roman" w:cs="Times New Roman"/>
          <w:sz w:val="27"/>
          <w:szCs w:val="27"/>
        </w:rPr>
      </w:sdtEndPr>
      <w:sdtContent>
        <w:p w:rsidR="004022BB" w:rsidRDefault="004022BB" w:rsidP="004022BB">
          <w:pPr>
            <w:pStyle w:val="Sansinterligne"/>
            <w:jc w:val="right"/>
            <w:rPr>
              <w:rFonts w:asciiTheme="majorHAnsi" w:eastAsiaTheme="majorEastAsia" w:hAnsiTheme="majorHAnsi" w:cstheme="majorBidi"/>
              <w:sz w:val="72"/>
              <w:szCs w:val="72"/>
            </w:rPr>
          </w:pPr>
          <w:r w:rsidRPr="00994C35">
            <w:rPr>
              <w:rFonts w:asciiTheme="majorHAnsi" w:eastAsiaTheme="majorEastAsia" w:hAnsiTheme="majorHAnsi" w:cstheme="majorBidi"/>
              <w:noProof/>
              <w:sz w:val="72"/>
              <w:szCs w:val="72"/>
              <w:lang w:eastAsia="fr-FR"/>
            </w:rPr>
            <w:drawing>
              <wp:inline distT="0" distB="0" distL="0" distR="0">
                <wp:extent cx="2137145" cy="1701210"/>
                <wp:effectExtent l="19050" t="0" r="0" b="0"/>
                <wp:docPr id="2" name="Image 1" descr="Résultat de recherche d'images pour &quot;monde commer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nde commerce&quot;"/>
                        <pic:cNvPicPr>
                          <a:picLocks noChangeAspect="1" noChangeArrowheads="1"/>
                        </pic:cNvPicPr>
                      </pic:nvPicPr>
                      <pic:blipFill>
                        <a:blip r:embed="rId8" cstate="print"/>
                        <a:srcRect/>
                        <a:stretch>
                          <a:fillRect/>
                        </a:stretch>
                      </pic:blipFill>
                      <pic:spPr bwMode="auto">
                        <a:xfrm>
                          <a:off x="0" y="0"/>
                          <a:ext cx="2137410" cy="1701421"/>
                        </a:xfrm>
                        <a:prstGeom prst="rect">
                          <a:avLst/>
                        </a:prstGeom>
                        <a:noFill/>
                        <a:ln w="9525">
                          <a:noFill/>
                          <a:miter lim="800000"/>
                          <a:headEnd/>
                          <a:tailEnd/>
                        </a:ln>
                      </pic:spPr>
                    </pic:pic>
                  </a:graphicData>
                </a:graphic>
              </wp:inline>
            </w:drawing>
          </w:r>
        </w:p>
        <w:p w:rsidR="004022BB" w:rsidRDefault="004022BB" w:rsidP="004022BB">
          <w:pPr>
            <w:pStyle w:val="Sansinterligne"/>
            <w:jc w:val="center"/>
            <w:rPr>
              <w:rFonts w:asciiTheme="majorHAnsi" w:eastAsiaTheme="majorEastAsia" w:hAnsiTheme="majorHAnsi" w:cstheme="majorBidi"/>
              <w:noProof/>
              <w:sz w:val="100"/>
              <w:szCs w:val="100"/>
              <w:u w:val="dashDotHeavy"/>
              <w:lang w:eastAsia="fr-FR"/>
            </w:rPr>
          </w:pPr>
          <w:r w:rsidRPr="004022BB">
            <w:rPr>
              <w:rFonts w:ascii="Algerian" w:hAnsi="Algerian"/>
              <w:color w:val="C00000"/>
              <w:sz w:val="100"/>
              <w:szCs w:val="100"/>
              <w:u w:val="dashDotHeavy"/>
            </w:rPr>
            <w:t>ÉCLAIRAGE</w:t>
          </w:r>
        </w:p>
        <w:p w:rsidR="004022BB" w:rsidRDefault="00AF2070" w:rsidP="000B36BA">
          <w:pPr>
            <w:pStyle w:val="Sansinterligne"/>
            <w:rPr>
              <w:rFonts w:asciiTheme="majorHAnsi" w:eastAsiaTheme="majorEastAsia" w:hAnsiTheme="majorHAnsi" w:cstheme="majorBidi"/>
              <w:sz w:val="72"/>
              <w:szCs w:val="72"/>
            </w:rPr>
          </w:pPr>
          <w:r w:rsidRPr="00AF2070">
            <w:rPr>
              <w:rFonts w:ascii="Algerian" w:eastAsiaTheme="majorEastAsia" w:hAnsi="Algerian" w:cstheme="majorBidi"/>
              <w:b/>
              <w:bCs/>
              <w:color w:val="E36C0A" w:themeColor="accent6" w:themeShade="BF"/>
              <w:spacing w:val="5"/>
              <w:kern w:val="28"/>
              <w:sz w:val="80"/>
              <w:szCs w:val="80"/>
            </w:rPr>
            <w:pict>
              <v:rect id="_x0000_s1026" style="position:absolute;margin-left:0;margin-top:0;width:624.25pt;height:63pt;z-index:251656704;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AF2070">
            <w:rPr>
              <w:rFonts w:ascii="Algerian" w:eastAsiaTheme="majorEastAsia" w:hAnsi="Algerian" w:cstheme="majorBidi"/>
              <w:b/>
              <w:bCs/>
              <w:color w:val="E36C0A" w:themeColor="accent6" w:themeShade="BF"/>
              <w:spacing w:val="5"/>
              <w:kern w:val="28"/>
              <w:sz w:val="80"/>
              <w:szCs w:val="80"/>
            </w:rPr>
            <w:pict>
              <v:rect id="_x0000_s1029" style="position:absolute;margin-left:0;margin-top:0;width:7.15pt;height:883.2pt;z-index:251657728;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AF2070">
            <w:rPr>
              <w:rFonts w:ascii="Algerian" w:eastAsiaTheme="majorEastAsia" w:hAnsi="Algerian" w:cstheme="majorBidi"/>
              <w:b/>
              <w:bCs/>
              <w:color w:val="E36C0A" w:themeColor="accent6" w:themeShade="BF"/>
              <w:spacing w:val="5"/>
              <w:kern w:val="28"/>
              <w:sz w:val="80"/>
              <w:szCs w:val="80"/>
            </w:rPr>
            <w:pict>
              <v:rect id="_x0000_s1028" style="position:absolute;margin-left:0;margin-top:0;width:7.15pt;height:883.2pt;z-index:251658752;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AF2070">
            <w:rPr>
              <w:rFonts w:ascii="Algerian" w:eastAsiaTheme="majorEastAsia" w:hAnsi="Algerian" w:cstheme="majorBidi"/>
              <w:b/>
              <w:bCs/>
              <w:color w:val="E36C0A" w:themeColor="accent6" w:themeShade="BF"/>
              <w:spacing w:val="5"/>
              <w:kern w:val="28"/>
              <w:sz w:val="80"/>
              <w:szCs w:val="80"/>
            </w:rPr>
            <w:pict>
              <v:rect id="_x0000_s1027" style="position:absolute;margin-left:0;margin-top:0;width:624.25pt;height:63pt;z-index:25165977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v:textbox style="mso-next-textbox:#_x0000_s1027">
                  <w:txbxContent>
                    <w:p w:rsidR="004022BB" w:rsidRDefault="004022BB" w:rsidP="004022BB">
                      <w:r>
                        <w:t xml:space="preserve">                    </w:t>
                      </w:r>
                    </w:p>
                    <w:p w:rsidR="004022BB" w:rsidRPr="000241C6" w:rsidRDefault="004022BB" w:rsidP="009566EF">
                      <w:pPr>
                        <w:rPr>
                          <w:rFonts w:asciiTheme="majorHAnsi" w:hAnsiTheme="majorHAnsi"/>
                          <w:b/>
                          <w:bCs/>
                          <w:sz w:val="32"/>
                          <w:szCs w:val="32"/>
                          <w:u w:val="single"/>
                        </w:rPr>
                      </w:pPr>
                      <w:r>
                        <w:t xml:space="preserve">                     </w:t>
                      </w:r>
                      <w:r w:rsidRPr="000241C6">
                        <w:rPr>
                          <w:rFonts w:asciiTheme="majorHAnsi" w:hAnsiTheme="majorHAnsi"/>
                          <w:b/>
                          <w:bCs/>
                          <w:sz w:val="32"/>
                          <w:szCs w:val="32"/>
                          <w:u w:val="single"/>
                        </w:rPr>
                        <w:t>Rapport N°</w:t>
                      </w:r>
                      <w:r w:rsidR="009566EF">
                        <w:rPr>
                          <w:rFonts w:asciiTheme="majorHAnsi" w:hAnsiTheme="majorHAnsi"/>
                          <w:b/>
                          <w:bCs/>
                          <w:sz w:val="32"/>
                          <w:szCs w:val="32"/>
                          <w:u w:val="single"/>
                        </w:rPr>
                        <w:t>2</w:t>
                      </w:r>
                      <w:r w:rsidRPr="000241C6">
                        <w:rPr>
                          <w:rFonts w:asciiTheme="majorHAnsi" w:hAnsiTheme="majorHAnsi"/>
                          <w:b/>
                          <w:bCs/>
                          <w:sz w:val="32"/>
                          <w:szCs w:val="32"/>
                          <w:u w:val="single"/>
                        </w:rPr>
                        <w:t> :</w:t>
                      </w:r>
                    </w:p>
                  </w:txbxContent>
                </v:textbox>
                <w10:wrap anchorx="page" anchory="margin"/>
              </v:rect>
            </w:pict>
          </w:r>
          <w:sdt>
            <w:sdtPr>
              <w:rPr>
                <w:rFonts w:ascii="Algerian" w:eastAsiaTheme="majorEastAsia" w:hAnsi="Algerian" w:cstheme="majorBidi"/>
                <w:b/>
                <w:bCs/>
                <w:color w:val="E36C0A" w:themeColor="accent6" w:themeShade="BF"/>
                <w:spacing w:val="5"/>
                <w:kern w:val="28"/>
                <w:sz w:val="80"/>
                <w:szCs w:val="80"/>
              </w:rPr>
              <w:alias w:val="Titre"/>
              <w:id w:val="14700071"/>
              <w:dataBinding w:prefixMappings="xmlns:ns0='http://schemas.openxmlformats.org/package/2006/metadata/core-properties' xmlns:ns1='http://purl.org/dc/elements/1.1/'" w:xpath="/ns0:coreProperties[1]/ns1:title[1]" w:storeItemID="{6C3C8BC8-F283-45AE-878A-BAB7291924A1}"/>
              <w:text/>
            </w:sdtPr>
            <w:sdtContent>
              <w:r w:rsidR="004022BB">
                <w:rPr>
                  <w:rFonts w:ascii="Algerian" w:eastAsiaTheme="majorEastAsia" w:hAnsi="Algerian" w:cstheme="majorBidi"/>
                  <w:b/>
                  <w:bCs/>
                  <w:color w:val="E36C0A" w:themeColor="accent6" w:themeShade="BF"/>
                  <w:spacing w:val="5"/>
                  <w:kern w:val="28"/>
                  <w:sz w:val="80"/>
                  <w:szCs w:val="80"/>
                </w:rPr>
                <w:t xml:space="preserve">Note de Conjoncture n </w:t>
              </w:r>
              <w:r w:rsidR="000B36BA">
                <w:rPr>
                  <w:rFonts w:ascii="Algerian" w:eastAsiaTheme="majorEastAsia" w:hAnsi="Algerian" w:cstheme="majorBidi"/>
                  <w:b/>
                  <w:bCs/>
                  <w:color w:val="E36C0A" w:themeColor="accent6" w:themeShade="BF"/>
                  <w:spacing w:val="5"/>
                  <w:kern w:val="28"/>
                  <w:sz w:val="80"/>
                  <w:szCs w:val="80"/>
                </w:rPr>
                <w:t>2</w:t>
              </w:r>
              <w:r w:rsidR="004022BB">
                <w:rPr>
                  <w:rFonts w:ascii="Algerian" w:eastAsiaTheme="majorEastAsia" w:hAnsi="Algerian" w:cstheme="majorBidi"/>
                  <w:b/>
                  <w:bCs/>
                  <w:color w:val="E36C0A" w:themeColor="accent6" w:themeShade="BF"/>
                  <w:spacing w:val="5"/>
                  <w:kern w:val="28"/>
                  <w:sz w:val="80"/>
                  <w:szCs w:val="80"/>
                </w:rPr>
                <w:t>-2016</w:t>
              </w:r>
            </w:sdtContent>
          </w:sdt>
        </w:p>
        <w:p w:rsidR="004022BB" w:rsidRDefault="004022BB" w:rsidP="004022BB"/>
        <w:p w:rsidR="004022BB" w:rsidRDefault="004022BB" w:rsidP="004022BB">
          <w:r w:rsidRPr="00496243">
            <w:rPr>
              <w:noProof/>
              <w:lang w:eastAsia="fr-FR"/>
            </w:rPr>
            <w:drawing>
              <wp:inline distT="0" distB="0" distL="0" distR="0">
                <wp:extent cx="5747851" cy="3401043"/>
                <wp:effectExtent l="57150" t="19050" r="119549" b="85107"/>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3100" cy="340414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2BB" w:rsidRDefault="004022BB" w:rsidP="004E1180">
          <w:pPr>
            <w:jc w:val="center"/>
            <w:rPr>
              <w:rFonts w:ascii="Algerian" w:hAnsi="Algerian" w:cstheme="majorBidi"/>
              <w:b/>
              <w:bCs/>
              <w:color w:val="244061" w:themeColor="accent1" w:themeShade="80"/>
              <w:sz w:val="36"/>
              <w:szCs w:val="36"/>
              <w:u w:val="single"/>
            </w:rPr>
          </w:pPr>
          <w:r>
            <w:rPr>
              <w:rFonts w:ascii="Algerian" w:hAnsi="Algerian" w:cstheme="majorBidi"/>
              <w:b/>
              <w:bCs/>
              <w:color w:val="244061" w:themeColor="accent1" w:themeShade="80"/>
              <w:sz w:val="36"/>
              <w:szCs w:val="36"/>
              <w:u w:val="single"/>
            </w:rPr>
            <w:t>Ao</w:t>
          </w:r>
          <w:r w:rsidR="004E1180">
            <w:rPr>
              <w:rFonts w:ascii="Algerian" w:hAnsi="Algerian" w:cstheme="majorBidi"/>
              <w:b/>
              <w:bCs/>
              <w:color w:val="244061" w:themeColor="accent1" w:themeShade="80"/>
              <w:sz w:val="36"/>
              <w:szCs w:val="36"/>
              <w:u w:val="single"/>
            </w:rPr>
            <w:t>û</w:t>
          </w:r>
          <w:r>
            <w:rPr>
              <w:rFonts w:ascii="Algerian" w:hAnsi="Algerian" w:cstheme="majorBidi"/>
              <w:b/>
              <w:bCs/>
              <w:color w:val="244061" w:themeColor="accent1" w:themeShade="80"/>
              <w:sz w:val="36"/>
              <w:szCs w:val="36"/>
              <w:u w:val="single"/>
            </w:rPr>
            <w:t>t</w:t>
          </w:r>
          <w:r w:rsidRPr="00D300B7">
            <w:rPr>
              <w:rFonts w:ascii="Algerian" w:hAnsi="Algerian" w:cstheme="majorBidi"/>
              <w:b/>
              <w:bCs/>
              <w:color w:val="244061" w:themeColor="accent1" w:themeShade="80"/>
              <w:sz w:val="36"/>
              <w:szCs w:val="36"/>
              <w:u w:val="single"/>
            </w:rPr>
            <w:t xml:space="preserve"> 2016</w:t>
          </w:r>
        </w:p>
        <w:p w:rsidR="004022BB" w:rsidRDefault="004022BB" w:rsidP="004022BB">
          <w:pPr>
            <w:pStyle w:val="Default"/>
            <w:spacing w:before="100" w:beforeAutospacing="1" w:after="100" w:afterAutospacing="1" w:line="360" w:lineRule="auto"/>
            <w:ind w:right="-567"/>
            <w:jc w:val="right"/>
            <w:rPr>
              <w:b/>
              <w:bCs/>
              <w:sz w:val="40"/>
              <w:szCs w:val="40"/>
            </w:rPr>
          </w:pPr>
          <w:r w:rsidRPr="008A1AA2">
            <w:rPr>
              <w:rFonts w:ascii="Garamond" w:hAnsi="Garamond"/>
              <w:b/>
              <w:bCs/>
            </w:rPr>
            <w:t>Direction Veille et Prospective</w:t>
          </w:r>
          <w:r>
            <w:rPr>
              <w:rFonts w:ascii="Garamond" w:hAnsi="Garamond"/>
              <w:b/>
              <w:bCs/>
            </w:rPr>
            <w:t>/ML</w:t>
          </w:r>
        </w:p>
        <w:p w:rsidR="004022BB" w:rsidRDefault="004022BB" w:rsidP="004022BB">
          <w:pPr>
            <w:jc w:val="center"/>
            <w:rPr>
              <w:rFonts w:asciiTheme="majorBidi" w:hAnsiTheme="majorBidi" w:cstheme="majorBidi"/>
              <w:b/>
              <w:bCs/>
            </w:rPr>
          </w:pPr>
        </w:p>
        <w:p w:rsidR="004022BB" w:rsidRDefault="004022BB" w:rsidP="004022BB">
          <w:pPr>
            <w:pStyle w:val="Default"/>
            <w:spacing w:before="100" w:beforeAutospacing="1" w:after="100" w:afterAutospacing="1" w:line="360" w:lineRule="auto"/>
            <w:jc w:val="both"/>
            <w:rPr>
              <w:sz w:val="32"/>
              <w:szCs w:val="32"/>
            </w:rPr>
          </w:pPr>
          <w:r>
            <w:rPr>
              <w:b/>
              <w:bCs/>
              <w:sz w:val="40"/>
              <w:szCs w:val="40"/>
            </w:rPr>
            <w:t>1- E</w:t>
          </w:r>
          <w:r>
            <w:rPr>
              <w:b/>
              <w:bCs/>
              <w:sz w:val="32"/>
              <w:szCs w:val="32"/>
            </w:rPr>
            <w:t xml:space="preserve">NVIRONNEMENT </w:t>
          </w:r>
          <w:r>
            <w:rPr>
              <w:b/>
              <w:bCs/>
              <w:sz w:val="40"/>
              <w:szCs w:val="40"/>
            </w:rPr>
            <w:t>I</w:t>
          </w:r>
          <w:r>
            <w:rPr>
              <w:b/>
              <w:bCs/>
              <w:sz w:val="32"/>
              <w:szCs w:val="32"/>
            </w:rPr>
            <w:t xml:space="preserve">NTERNATIONAL </w:t>
          </w:r>
        </w:p>
        <w:p w:rsidR="004022BB" w:rsidRDefault="004022BB" w:rsidP="004022BB">
          <w:pPr>
            <w:pStyle w:val="Paragraphedeliste"/>
            <w:numPr>
              <w:ilvl w:val="0"/>
              <w:numId w:val="7"/>
            </w:numPr>
            <w:spacing w:before="100" w:beforeAutospacing="1" w:after="100" w:afterAutospacing="1" w:line="360" w:lineRule="auto"/>
            <w:jc w:val="both"/>
            <w:rPr>
              <w:rFonts w:asciiTheme="majorBidi" w:hAnsiTheme="majorBidi" w:cstheme="majorBidi"/>
              <w:sz w:val="24"/>
              <w:szCs w:val="24"/>
            </w:rPr>
          </w:pPr>
          <w:r w:rsidRPr="00D54A15">
            <w:rPr>
              <w:rFonts w:asciiTheme="majorBidi" w:hAnsiTheme="majorBidi" w:cstheme="majorBidi"/>
              <w:sz w:val="24"/>
              <w:szCs w:val="24"/>
            </w:rPr>
            <w:t xml:space="preserve">L’activité économique </w:t>
          </w:r>
          <w:r>
            <w:rPr>
              <w:rFonts w:asciiTheme="majorBidi" w:hAnsiTheme="majorBidi" w:cstheme="majorBidi"/>
              <w:sz w:val="24"/>
              <w:szCs w:val="24"/>
            </w:rPr>
            <w:t xml:space="preserve">mondiale </w:t>
          </w:r>
          <w:r w:rsidRPr="00D54A15">
            <w:rPr>
              <w:rFonts w:asciiTheme="majorBidi" w:hAnsiTheme="majorBidi" w:cstheme="majorBidi"/>
              <w:sz w:val="24"/>
              <w:szCs w:val="24"/>
            </w:rPr>
            <w:t>a décéléré en 2015. Elle s’est caractérisé</w:t>
          </w:r>
          <w:r>
            <w:rPr>
              <w:rFonts w:asciiTheme="majorBidi" w:hAnsiTheme="majorBidi" w:cstheme="majorBidi"/>
              <w:sz w:val="24"/>
              <w:szCs w:val="24"/>
            </w:rPr>
            <w:t>e</w:t>
          </w:r>
          <w:r w:rsidRPr="00D54A15">
            <w:rPr>
              <w:rFonts w:asciiTheme="majorBidi" w:hAnsiTheme="majorBidi" w:cstheme="majorBidi"/>
              <w:sz w:val="24"/>
              <w:szCs w:val="24"/>
            </w:rPr>
            <w:t xml:space="preserve"> </w:t>
          </w:r>
          <w:r>
            <w:rPr>
              <w:rFonts w:asciiTheme="majorBidi" w:hAnsiTheme="majorBidi" w:cstheme="majorBidi"/>
              <w:sz w:val="24"/>
              <w:szCs w:val="24"/>
            </w:rPr>
            <w:t xml:space="preserve">par </w:t>
          </w:r>
          <w:r w:rsidRPr="00D54A15">
            <w:rPr>
              <w:rFonts w:asciiTheme="majorBidi" w:hAnsiTheme="majorBidi" w:cstheme="majorBidi"/>
              <w:sz w:val="24"/>
              <w:szCs w:val="24"/>
            </w:rPr>
            <w:t>des disparités très hétérogèn</w:t>
          </w:r>
          <w:r>
            <w:rPr>
              <w:rFonts w:asciiTheme="majorBidi" w:hAnsiTheme="majorBidi" w:cstheme="majorBidi"/>
              <w:sz w:val="24"/>
              <w:szCs w:val="24"/>
            </w:rPr>
            <w:t>e</w:t>
          </w:r>
          <w:r w:rsidRPr="00D54A15">
            <w:rPr>
              <w:rFonts w:asciiTheme="majorBidi" w:hAnsiTheme="majorBidi" w:cstheme="majorBidi"/>
              <w:sz w:val="24"/>
              <w:szCs w:val="24"/>
            </w:rPr>
            <w:t xml:space="preserve"> entre les régions du monde ;</w:t>
          </w:r>
        </w:p>
        <w:p w:rsidR="004022BB" w:rsidRPr="00714AE0" w:rsidRDefault="004022BB" w:rsidP="00FC587D">
          <w:pPr>
            <w:pStyle w:val="Paragraphedeliste"/>
            <w:numPr>
              <w:ilvl w:val="0"/>
              <w:numId w:val="7"/>
            </w:numPr>
            <w:spacing w:line="360" w:lineRule="auto"/>
            <w:jc w:val="both"/>
            <w:rPr>
              <w:rFonts w:asciiTheme="majorBidi" w:hAnsiTheme="majorBidi" w:cstheme="majorBidi"/>
              <w:sz w:val="24"/>
              <w:szCs w:val="24"/>
            </w:rPr>
          </w:pPr>
          <w:r w:rsidRPr="00AD0270">
            <w:rPr>
              <w:rFonts w:asciiTheme="majorBidi" w:hAnsiTheme="majorBidi" w:cstheme="majorBidi"/>
              <w:sz w:val="24"/>
              <w:szCs w:val="24"/>
            </w:rPr>
            <w:t>Selon la banque mondial</w:t>
          </w:r>
          <w:r w:rsidRPr="0062742B">
            <w:rPr>
              <w:rFonts w:asciiTheme="majorBidi" w:hAnsiTheme="majorBidi" w:cstheme="majorBidi"/>
              <w:sz w:val="24"/>
              <w:szCs w:val="24"/>
            </w:rPr>
            <w:t>e</w:t>
          </w:r>
          <w:r w:rsidRPr="00AD0270">
            <w:rPr>
              <w:rStyle w:val="Appelnotedebasdep"/>
              <w:rFonts w:asciiTheme="majorBidi" w:hAnsiTheme="majorBidi" w:cstheme="majorBidi"/>
              <w:sz w:val="24"/>
              <w:szCs w:val="24"/>
            </w:rPr>
            <w:footnoteReference w:id="1"/>
          </w:r>
          <w:r w:rsidRPr="00AD0270">
            <w:rPr>
              <w:rFonts w:asciiTheme="majorBidi" w:hAnsiTheme="majorBidi" w:cstheme="majorBidi"/>
              <w:sz w:val="24"/>
              <w:szCs w:val="24"/>
            </w:rPr>
            <w:t>, le taux de croissance du PIB mondial n’a été que de 2.4% en 2015 (contre 2.6% en 2014). Il est estimé d’atteindre 2.9% en 2016 ; Soit un taux  plus faible que prévu.</w:t>
          </w:r>
          <w:r>
            <w:rPr>
              <w:rFonts w:asciiTheme="majorBidi" w:hAnsiTheme="majorBidi" w:cstheme="majorBidi"/>
              <w:sz w:val="24"/>
              <w:szCs w:val="24"/>
            </w:rPr>
            <w:t xml:space="preserve"> L’économie mondiale doit s’adapter à une nouvelle période de croissance plus modeste que les prévisions initiales, du fait du ralentissement du rythme de croissance dans les grands pays émergents</w:t>
          </w:r>
          <w:r w:rsidR="00FC587D">
            <w:rPr>
              <w:rFonts w:asciiTheme="majorBidi" w:hAnsiTheme="majorBidi" w:cstheme="majorBidi"/>
              <w:sz w:val="24"/>
              <w:szCs w:val="24"/>
            </w:rPr>
            <w:t xml:space="preserve">, </w:t>
          </w:r>
          <w:r>
            <w:rPr>
              <w:rFonts w:asciiTheme="majorBidi" w:hAnsiTheme="majorBidi" w:cstheme="majorBidi"/>
              <w:sz w:val="24"/>
              <w:szCs w:val="24"/>
            </w:rPr>
            <w:t xml:space="preserve"> la baisse des prix de produits de base et le recul des flux mondiaux de biens et de capitaux ;</w:t>
          </w:r>
        </w:p>
        <w:p w:rsidR="004022BB" w:rsidRDefault="004022BB" w:rsidP="003A310B">
          <w:pPr>
            <w:pStyle w:val="Paragraphedeliste"/>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L’</w:t>
          </w:r>
          <w:r w:rsidR="003A310B">
            <w:rPr>
              <w:rFonts w:asciiTheme="majorBidi" w:hAnsiTheme="majorBidi" w:cstheme="majorBidi"/>
              <w:sz w:val="24"/>
              <w:szCs w:val="24"/>
            </w:rPr>
            <w:t>activité mondiale se redressera dès 2016 et accélèrera</w:t>
          </w:r>
          <w:r>
            <w:rPr>
              <w:rFonts w:asciiTheme="majorBidi" w:hAnsiTheme="majorBidi" w:cstheme="majorBidi"/>
              <w:sz w:val="24"/>
              <w:szCs w:val="24"/>
            </w:rPr>
            <w:t xml:space="preserve"> en 2017, portée à la fois par le redressement </w:t>
          </w:r>
          <w:r w:rsidR="00360AF5">
            <w:rPr>
              <w:rFonts w:asciiTheme="majorBidi" w:hAnsiTheme="majorBidi" w:cstheme="majorBidi"/>
              <w:sz w:val="24"/>
              <w:szCs w:val="24"/>
            </w:rPr>
            <w:t xml:space="preserve">dés économies émergentes </w:t>
          </w:r>
          <w:r>
            <w:rPr>
              <w:rFonts w:asciiTheme="majorBidi" w:hAnsiTheme="majorBidi" w:cstheme="majorBidi"/>
              <w:sz w:val="24"/>
              <w:szCs w:val="24"/>
            </w:rPr>
            <w:t>et par l’accélération de l’activité des économies avancées en 2016 suivie d’une stabilisation de la croissance en 2017 ;</w:t>
          </w:r>
        </w:p>
        <w:p w:rsidR="004022BB" w:rsidRDefault="004022BB" w:rsidP="003A310B">
          <w:pPr>
            <w:pStyle w:val="Paragraphedeliste"/>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Les économies émergentes ont été peu dynamiques en 2015. L</w:t>
          </w:r>
          <w:r w:rsidR="00975060">
            <w:rPr>
              <w:rFonts w:asciiTheme="majorBidi" w:hAnsiTheme="majorBidi" w:cstheme="majorBidi"/>
              <w:sz w:val="24"/>
              <w:szCs w:val="24"/>
            </w:rPr>
            <w:t>a</w:t>
          </w:r>
          <w:r>
            <w:rPr>
              <w:rFonts w:asciiTheme="majorBidi" w:hAnsiTheme="majorBidi" w:cstheme="majorBidi"/>
              <w:sz w:val="24"/>
              <w:szCs w:val="24"/>
            </w:rPr>
            <w:t xml:space="preserve"> </w:t>
          </w:r>
          <w:r w:rsidR="00975060" w:rsidRPr="00975060">
            <w:rPr>
              <w:rFonts w:asciiTheme="majorBidi" w:hAnsiTheme="majorBidi" w:cstheme="majorBidi"/>
              <w:sz w:val="24"/>
              <w:szCs w:val="24"/>
            </w:rPr>
            <w:t>décélération</w:t>
          </w:r>
          <w:r w:rsidR="00975060">
            <w:rPr>
              <w:rFonts w:asciiTheme="majorBidi" w:hAnsiTheme="majorBidi" w:cstheme="majorBidi"/>
              <w:sz w:val="24"/>
              <w:szCs w:val="24"/>
            </w:rPr>
            <w:t xml:space="preserve"> </w:t>
          </w:r>
          <w:r>
            <w:rPr>
              <w:rFonts w:asciiTheme="majorBidi" w:hAnsiTheme="majorBidi" w:cstheme="majorBidi"/>
              <w:sz w:val="24"/>
              <w:szCs w:val="24"/>
            </w:rPr>
            <w:t xml:space="preserve">de l’activité se poursuit en Chine </w:t>
          </w:r>
          <w:r w:rsidR="0020704F">
            <w:rPr>
              <w:rFonts w:asciiTheme="majorBidi" w:hAnsiTheme="majorBidi" w:cstheme="majorBidi"/>
              <w:sz w:val="24"/>
              <w:szCs w:val="24"/>
            </w:rPr>
            <w:t>tandis</w:t>
          </w:r>
          <w:r>
            <w:rPr>
              <w:rFonts w:asciiTheme="majorBidi" w:hAnsiTheme="majorBidi" w:cstheme="majorBidi"/>
              <w:sz w:val="24"/>
              <w:szCs w:val="24"/>
            </w:rPr>
            <w:t xml:space="preserve"> que le Brésil et la Russie connaissent de profondes </w:t>
          </w:r>
          <w:r w:rsidR="005235FE">
            <w:rPr>
              <w:rFonts w:asciiTheme="majorBidi" w:hAnsiTheme="majorBidi" w:cstheme="majorBidi"/>
              <w:sz w:val="24"/>
              <w:szCs w:val="24"/>
            </w:rPr>
            <w:t>régressions</w:t>
          </w:r>
          <w:r>
            <w:rPr>
              <w:rFonts w:asciiTheme="majorBidi" w:hAnsiTheme="majorBidi" w:cstheme="majorBidi"/>
              <w:sz w:val="24"/>
              <w:szCs w:val="24"/>
            </w:rPr>
            <w:t xml:space="preserve">. </w:t>
          </w:r>
          <w:r w:rsidR="005235FE">
            <w:rPr>
              <w:rFonts w:asciiTheme="majorBidi" w:hAnsiTheme="majorBidi" w:cstheme="majorBidi"/>
              <w:sz w:val="24"/>
              <w:szCs w:val="24"/>
            </w:rPr>
            <w:t>En revanche, l</w:t>
          </w:r>
          <w:r>
            <w:rPr>
              <w:rFonts w:asciiTheme="majorBidi" w:hAnsiTheme="majorBidi" w:cstheme="majorBidi"/>
              <w:sz w:val="24"/>
              <w:szCs w:val="24"/>
            </w:rPr>
            <w:t xml:space="preserve">’Inde et dans une moindre mesure, la Turquie se distinguent par une croissance </w:t>
          </w:r>
          <w:r w:rsidR="0020704F">
            <w:rPr>
              <w:rFonts w:asciiTheme="majorBidi" w:hAnsiTheme="majorBidi" w:cstheme="majorBidi"/>
              <w:sz w:val="24"/>
              <w:szCs w:val="24"/>
            </w:rPr>
            <w:t>fluide</w:t>
          </w:r>
          <w:r>
            <w:rPr>
              <w:rFonts w:asciiTheme="majorBidi" w:hAnsiTheme="majorBidi" w:cstheme="majorBidi"/>
              <w:sz w:val="24"/>
              <w:szCs w:val="24"/>
            </w:rPr>
            <w:t>. Les économies émergentes accélèrer</w:t>
          </w:r>
          <w:r w:rsidR="003A310B">
            <w:rPr>
              <w:rFonts w:asciiTheme="majorBidi" w:hAnsiTheme="majorBidi" w:cstheme="majorBidi"/>
              <w:sz w:val="24"/>
              <w:szCs w:val="24"/>
            </w:rPr>
            <w:t>on</w:t>
          </w:r>
          <w:r>
            <w:rPr>
              <w:rFonts w:asciiTheme="majorBidi" w:hAnsiTheme="majorBidi" w:cstheme="majorBidi"/>
              <w:sz w:val="24"/>
              <w:szCs w:val="24"/>
            </w:rPr>
            <w:t>t graduellement en 2016 et 2017, avec une situation moins défavorable au Brésil et en Russie faisant plus que compenser la poursuite du ralentissement économique chinois ;</w:t>
          </w:r>
        </w:p>
        <w:p w:rsidR="004022BB" w:rsidRDefault="004022BB" w:rsidP="00337DBD">
          <w:pPr>
            <w:pStyle w:val="Paragraphedeliste"/>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les pays anglo-saxons, après une année 2015 </w:t>
          </w:r>
          <w:r w:rsidR="00337DBD">
            <w:rPr>
              <w:rFonts w:asciiTheme="majorBidi" w:hAnsiTheme="majorBidi" w:cstheme="majorBidi"/>
              <w:sz w:val="24"/>
              <w:szCs w:val="24"/>
            </w:rPr>
            <w:t>active</w:t>
          </w:r>
          <w:r>
            <w:rPr>
              <w:rFonts w:asciiTheme="majorBidi" w:hAnsiTheme="majorBidi" w:cstheme="majorBidi"/>
              <w:sz w:val="24"/>
              <w:szCs w:val="24"/>
            </w:rPr>
            <w:t xml:space="preserve"> </w:t>
          </w:r>
          <w:r w:rsidR="00337DBD">
            <w:rPr>
              <w:rFonts w:asciiTheme="majorBidi" w:hAnsiTheme="majorBidi" w:cstheme="majorBidi"/>
              <w:sz w:val="24"/>
              <w:szCs w:val="24"/>
            </w:rPr>
            <w:t>basée sur une</w:t>
          </w:r>
          <w:r>
            <w:rPr>
              <w:rFonts w:asciiTheme="majorBidi" w:hAnsiTheme="majorBidi" w:cstheme="majorBidi"/>
              <w:sz w:val="24"/>
              <w:szCs w:val="24"/>
            </w:rPr>
            <w:t xml:space="preserve"> forte demande intérieure, l’activité </w:t>
          </w:r>
          <w:r w:rsidR="00337DBD">
            <w:rPr>
              <w:rFonts w:asciiTheme="majorBidi" w:hAnsiTheme="majorBidi" w:cstheme="majorBidi"/>
              <w:sz w:val="24"/>
              <w:szCs w:val="24"/>
            </w:rPr>
            <w:t>garderait</w:t>
          </w:r>
          <w:r>
            <w:rPr>
              <w:rFonts w:asciiTheme="majorBidi" w:hAnsiTheme="majorBidi" w:cstheme="majorBidi"/>
              <w:sz w:val="24"/>
              <w:szCs w:val="24"/>
            </w:rPr>
            <w:t xml:space="preserve"> son rythme, voire ralentirait </w:t>
          </w:r>
          <w:r w:rsidR="00337DBD">
            <w:rPr>
              <w:rFonts w:asciiTheme="majorBidi" w:hAnsiTheme="majorBidi" w:cstheme="majorBidi"/>
              <w:sz w:val="24"/>
              <w:szCs w:val="24"/>
            </w:rPr>
            <w:t>lentement</w:t>
          </w:r>
          <w:r>
            <w:rPr>
              <w:rFonts w:asciiTheme="majorBidi" w:hAnsiTheme="majorBidi" w:cstheme="majorBidi"/>
              <w:sz w:val="24"/>
              <w:szCs w:val="24"/>
            </w:rPr>
            <w:t xml:space="preserve"> sur l’horizon de prévision, tout en restant au-dessus du potentiel de croissance.</w:t>
          </w:r>
        </w:p>
        <w:p w:rsidR="004022BB" w:rsidRDefault="004022BB" w:rsidP="00A6126B">
          <w:pPr>
            <w:pStyle w:val="Paragraphedeliste"/>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Au Japon, la reprise </w:t>
          </w:r>
          <w:r w:rsidR="00ED5073">
            <w:rPr>
              <w:rFonts w:asciiTheme="majorBidi" w:hAnsiTheme="majorBidi" w:cstheme="majorBidi"/>
              <w:sz w:val="24"/>
              <w:szCs w:val="24"/>
            </w:rPr>
            <w:t>commencée</w:t>
          </w:r>
          <w:r>
            <w:rPr>
              <w:rFonts w:asciiTheme="majorBidi" w:hAnsiTheme="majorBidi" w:cstheme="majorBidi"/>
              <w:sz w:val="24"/>
              <w:szCs w:val="24"/>
            </w:rPr>
            <w:t xml:space="preserve"> en 2015</w:t>
          </w:r>
          <w:r w:rsidR="00ED5073">
            <w:rPr>
              <w:rFonts w:asciiTheme="majorBidi" w:hAnsiTheme="majorBidi" w:cstheme="majorBidi"/>
              <w:sz w:val="24"/>
              <w:szCs w:val="24"/>
            </w:rPr>
            <w:t>,</w:t>
          </w:r>
          <w:r w:rsidR="00A6126B">
            <w:rPr>
              <w:rFonts w:asciiTheme="majorBidi" w:hAnsiTheme="majorBidi" w:cstheme="majorBidi"/>
              <w:sz w:val="24"/>
              <w:szCs w:val="24"/>
            </w:rPr>
            <w:t xml:space="preserve"> se poursuivra</w:t>
          </w:r>
          <w:r w:rsidR="0018161C">
            <w:rPr>
              <w:rFonts w:asciiTheme="majorBidi" w:hAnsiTheme="majorBidi" w:cstheme="majorBidi"/>
              <w:sz w:val="24"/>
              <w:szCs w:val="24"/>
            </w:rPr>
            <w:t xml:space="preserve"> en 2016</w:t>
          </w:r>
          <w:r>
            <w:rPr>
              <w:rFonts w:asciiTheme="majorBidi" w:hAnsiTheme="majorBidi" w:cstheme="majorBidi"/>
              <w:sz w:val="24"/>
              <w:szCs w:val="24"/>
            </w:rPr>
            <w:t>;</w:t>
          </w:r>
        </w:p>
        <w:p w:rsidR="004022BB" w:rsidRPr="00FE014A" w:rsidRDefault="004022BB" w:rsidP="004B5E0A">
          <w:pPr>
            <w:pStyle w:val="Paragraphedeliste"/>
            <w:numPr>
              <w:ilvl w:val="0"/>
              <w:numId w:val="7"/>
            </w:numPr>
            <w:spacing w:line="360" w:lineRule="auto"/>
            <w:jc w:val="both"/>
            <w:rPr>
              <w:rFonts w:asciiTheme="majorBidi" w:hAnsiTheme="majorBidi" w:cstheme="majorBidi"/>
              <w:sz w:val="24"/>
              <w:szCs w:val="24"/>
            </w:rPr>
          </w:pPr>
          <w:r w:rsidRPr="00FE014A">
            <w:rPr>
              <w:rFonts w:asciiTheme="majorBidi" w:hAnsiTheme="majorBidi" w:cstheme="majorBidi"/>
              <w:sz w:val="24"/>
              <w:szCs w:val="24"/>
            </w:rPr>
            <w:t xml:space="preserve">En zone euro, la reprise s’est </w:t>
          </w:r>
          <w:r w:rsidR="00DF5D47">
            <w:rPr>
              <w:rFonts w:asciiTheme="majorBidi" w:hAnsiTheme="majorBidi" w:cstheme="majorBidi"/>
              <w:sz w:val="24"/>
              <w:szCs w:val="24"/>
            </w:rPr>
            <w:t>forgée</w:t>
          </w:r>
          <w:r w:rsidRPr="00FE014A">
            <w:rPr>
              <w:rFonts w:asciiTheme="majorBidi" w:hAnsiTheme="majorBidi" w:cstheme="majorBidi"/>
              <w:sz w:val="24"/>
              <w:szCs w:val="24"/>
            </w:rPr>
            <w:t xml:space="preserve"> en 2015 </w:t>
          </w:r>
          <w:r w:rsidR="00DF5D47">
            <w:rPr>
              <w:rFonts w:asciiTheme="majorBidi" w:hAnsiTheme="majorBidi" w:cstheme="majorBidi"/>
              <w:sz w:val="24"/>
              <w:szCs w:val="24"/>
            </w:rPr>
            <w:t>mais</w:t>
          </w:r>
          <w:r w:rsidRPr="00FE014A">
            <w:rPr>
              <w:rFonts w:asciiTheme="majorBidi" w:hAnsiTheme="majorBidi" w:cstheme="majorBidi"/>
              <w:sz w:val="24"/>
              <w:szCs w:val="24"/>
            </w:rPr>
            <w:t xml:space="preserve"> </w:t>
          </w:r>
          <w:r w:rsidR="004B5E0A">
            <w:rPr>
              <w:rFonts w:asciiTheme="majorBidi" w:hAnsiTheme="majorBidi" w:cstheme="majorBidi"/>
              <w:sz w:val="24"/>
              <w:szCs w:val="24"/>
            </w:rPr>
            <w:t xml:space="preserve">elle est très </w:t>
          </w:r>
          <w:r w:rsidRPr="00FE014A">
            <w:rPr>
              <w:rFonts w:asciiTheme="majorBidi" w:hAnsiTheme="majorBidi" w:cstheme="majorBidi"/>
              <w:sz w:val="24"/>
              <w:szCs w:val="24"/>
            </w:rPr>
            <w:t xml:space="preserve"> hétérogène. La forte baisse des taux d’intérêt, favorisée par la politique monétaire mise en place, ainsi qu’une moindre consolidation budgétaire et des prix du pétrole bas continueraient à soutenir l’activité sur l’horizon de prévision ;</w:t>
          </w:r>
        </w:p>
        <w:p w:rsidR="004022BB" w:rsidRPr="009B1EB3" w:rsidRDefault="004022BB" w:rsidP="004022BB">
          <w:pPr>
            <w:pStyle w:val="Paragraphedeliste"/>
            <w:numPr>
              <w:ilvl w:val="0"/>
              <w:numId w:val="7"/>
            </w:numPr>
            <w:spacing w:line="360" w:lineRule="auto"/>
            <w:jc w:val="both"/>
            <w:rPr>
              <w:rFonts w:asciiTheme="majorBidi" w:hAnsiTheme="majorBidi" w:cstheme="majorBidi"/>
              <w:sz w:val="24"/>
              <w:szCs w:val="24"/>
            </w:rPr>
          </w:pPr>
          <w:r w:rsidRPr="0087702B">
            <w:rPr>
              <w:rFonts w:asciiTheme="majorBidi" w:hAnsiTheme="majorBidi" w:cstheme="majorBidi"/>
              <w:sz w:val="24"/>
              <w:szCs w:val="24"/>
            </w:rPr>
            <w:lastRenderedPageBreak/>
            <w:t>Les tensions géopolitiques représentent un risque important dans les perspectives économiques au niveau national et mondial</w:t>
          </w:r>
          <w:r>
            <w:rPr>
              <w:rFonts w:asciiTheme="majorBidi" w:hAnsiTheme="majorBidi" w:cstheme="majorBidi"/>
              <w:sz w:val="24"/>
              <w:szCs w:val="24"/>
            </w:rPr>
            <w:t>.</w:t>
          </w:r>
        </w:p>
        <w:p w:rsidR="004022BB" w:rsidRDefault="004022BB" w:rsidP="004022BB">
          <w:pPr>
            <w:spacing w:line="360" w:lineRule="auto"/>
            <w:jc w:val="both"/>
            <w:rPr>
              <w:rFonts w:ascii="Times New Roman" w:hAnsi="Times New Roman" w:cs="Times New Roman"/>
              <w:b/>
              <w:bCs/>
              <w:color w:val="000000"/>
              <w:sz w:val="40"/>
              <w:szCs w:val="40"/>
            </w:rPr>
          </w:pPr>
          <w:r w:rsidRPr="008455D0">
            <w:rPr>
              <w:rFonts w:ascii="Times New Roman" w:hAnsi="Times New Roman" w:cs="Times New Roman"/>
              <w:b/>
              <w:bCs/>
              <w:color w:val="000000"/>
              <w:sz w:val="40"/>
              <w:szCs w:val="40"/>
            </w:rPr>
            <w:t>Perspectives économiques en Afrique subsaharienne</w:t>
          </w:r>
        </w:p>
        <w:p w:rsidR="004022BB" w:rsidRDefault="004022BB" w:rsidP="004022BB">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La situation économique en Afrique subsaharienne diffère d’un pays à un autre ;</w:t>
          </w:r>
        </w:p>
        <w:p w:rsidR="004022BB" w:rsidRDefault="004022BB" w:rsidP="004022BB">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 xml:space="preserve">L’activité économique a légèrement ralenti. Selon le FMI, </w:t>
          </w:r>
          <w:r w:rsidRPr="00A15342">
            <w:rPr>
              <w:rFonts w:asciiTheme="majorBidi" w:hAnsiTheme="majorBidi" w:cstheme="majorBidi"/>
              <w:sz w:val="24"/>
              <w:szCs w:val="24"/>
            </w:rPr>
            <w:t>la croissance économique de la région a atteint 3.5 % en 2015, le plus bas niveau depuis une quinzaine d’années, et devrait continuer de ralentir cette année</w:t>
          </w:r>
          <w:r>
            <w:rPr>
              <w:rFonts w:asciiTheme="majorBidi" w:hAnsiTheme="majorBidi" w:cstheme="majorBidi"/>
              <w:sz w:val="24"/>
              <w:szCs w:val="24"/>
            </w:rPr>
            <w:t xml:space="preserve"> pour s’établir à 3% ;</w:t>
          </w:r>
        </w:p>
        <w:p w:rsidR="004022BB" w:rsidRDefault="004022BB" w:rsidP="000308EB">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sidRPr="00B518AD">
            <w:rPr>
              <w:rFonts w:asciiTheme="majorBidi" w:hAnsiTheme="majorBidi" w:cstheme="majorBidi"/>
              <w:sz w:val="24"/>
              <w:szCs w:val="24"/>
            </w:rPr>
            <w:t xml:space="preserve">La </w:t>
          </w:r>
          <w:r w:rsidR="000308EB">
            <w:rPr>
              <w:rFonts w:asciiTheme="majorBidi" w:hAnsiTheme="majorBidi" w:cstheme="majorBidi"/>
              <w:sz w:val="24"/>
              <w:szCs w:val="24"/>
            </w:rPr>
            <w:t>baisse</w:t>
          </w:r>
          <w:r w:rsidRPr="00B518AD">
            <w:rPr>
              <w:rFonts w:asciiTheme="majorBidi" w:hAnsiTheme="majorBidi" w:cstheme="majorBidi"/>
              <w:sz w:val="24"/>
              <w:szCs w:val="24"/>
            </w:rPr>
            <w:t xml:space="preserve"> des cours des produits de base </w:t>
          </w:r>
          <w:r w:rsidR="000308EB">
            <w:rPr>
              <w:rFonts w:asciiTheme="majorBidi" w:hAnsiTheme="majorBidi" w:cstheme="majorBidi"/>
              <w:sz w:val="24"/>
              <w:szCs w:val="24"/>
            </w:rPr>
            <w:t>a touché négativement</w:t>
          </w:r>
          <w:r w:rsidRPr="00B518AD">
            <w:rPr>
              <w:rFonts w:asciiTheme="majorBidi" w:hAnsiTheme="majorBidi" w:cstheme="majorBidi"/>
              <w:sz w:val="24"/>
              <w:szCs w:val="24"/>
            </w:rPr>
            <w:t xml:space="preserve"> beaucoup des plus grands pays d’Afrique subsaharienne. </w:t>
          </w:r>
          <w:r w:rsidRPr="002A0135">
            <w:rPr>
              <w:rFonts w:asciiTheme="majorBidi" w:hAnsiTheme="majorBidi" w:cstheme="majorBidi"/>
              <w:sz w:val="24"/>
              <w:szCs w:val="24"/>
              <w:u w:val="single"/>
            </w:rPr>
            <w:t>Les pays exportateurs de pétrole</w:t>
          </w:r>
          <w:r w:rsidRPr="00B518AD">
            <w:rPr>
              <w:rFonts w:asciiTheme="majorBidi" w:hAnsiTheme="majorBidi" w:cstheme="majorBidi"/>
              <w:sz w:val="24"/>
              <w:szCs w:val="24"/>
            </w:rPr>
            <w:t xml:space="preserve">, dont l’Angola et le Nigéria, restent confrontés à un </w:t>
          </w:r>
          <w:r w:rsidRPr="002A0135">
            <w:rPr>
              <w:rFonts w:asciiTheme="majorBidi" w:hAnsiTheme="majorBidi" w:cstheme="majorBidi"/>
              <w:sz w:val="24"/>
              <w:szCs w:val="24"/>
              <w:u w:val="single"/>
            </w:rPr>
            <w:t>environnement économique difficile</w:t>
          </w:r>
          <w:r w:rsidRPr="00B518AD">
            <w:rPr>
              <w:rFonts w:asciiTheme="majorBidi" w:hAnsiTheme="majorBidi" w:cstheme="majorBidi"/>
              <w:sz w:val="24"/>
              <w:szCs w:val="24"/>
            </w:rPr>
            <w:t xml:space="preserve"> </w:t>
          </w:r>
          <w:r w:rsidRPr="00E83CBF">
            <w:rPr>
              <w:rFonts w:asciiTheme="majorBidi" w:hAnsiTheme="majorBidi" w:cstheme="majorBidi"/>
              <w:b/>
              <w:bCs/>
              <w:sz w:val="24"/>
              <w:szCs w:val="24"/>
            </w:rPr>
            <w:t>(selon les prévisions, la croissance du groupe des pays exportateurs de pétrole devrait diminuer encore et s’établir à 2</w:t>
          </w:r>
          <w:r>
            <w:rPr>
              <w:rFonts w:asciiTheme="majorBidi" w:hAnsiTheme="majorBidi" w:cstheme="majorBidi"/>
              <w:b/>
              <w:bCs/>
              <w:sz w:val="24"/>
              <w:szCs w:val="24"/>
            </w:rPr>
            <w:t>.25</w:t>
          </w:r>
          <w:r w:rsidRPr="00E83CBF">
            <w:rPr>
              <w:rFonts w:asciiTheme="majorBidi" w:hAnsiTheme="majorBidi" w:cstheme="majorBidi"/>
              <w:b/>
              <w:bCs/>
              <w:sz w:val="24"/>
              <w:szCs w:val="24"/>
            </w:rPr>
            <w:t xml:space="preserve"> % cette année alors qu’elle a atteint 6 % en 2014),</w:t>
          </w:r>
          <w:r w:rsidRPr="00B518AD">
            <w:rPr>
              <w:rFonts w:asciiTheme="majorBidi" w:hAnsiTheme="majorBidi" w:cstheme="majorBidi"/>
              <w:sz w:val="24"/>
              <w:szCs w:val="24"/>
            </w:rPr>
            <w:t xml:space="preserve"> mais </w:t>
          </w:r>
          <w:r w:rsidRPr="002A0135">
            <w:rPr>
              <w:rFonts w:asciiTheme="majorBidi" w:hAnsiTheme="majorBidi" w:cstheme="majorBidi"/>
              <w:sz w:val="24"/>
              <w:szCs w:val="24"/>
              <w:u w:val="single"/>
            </w:rPr>
            <w:t>c’est aussi le cas des pays exportateurs de produits de base non énergétiques</w:t>
          </w:r>
          <w:r w:rsidRPr="00B518AD">
            <w:rPr>
              <w:rFonts w:asciiTheme="majorBidi" w:hAnsiTheme="majorBidi" w:cstheme="majorBidi"/>
              <w:sz w:val="24"/>
              <w:szCs w:val="24"/>
            </w:rPr>
            <w:t xml:space="preserve"> tels que l’Afrique du Sud, le Ghana et la Zambie. Par ailleurs, la Guinée, le Libéria et la Sierra Leone ne se remettent que lentement de l’épidémie d’Ébola, et </w:t>
          </w:r>
          <w:r w:rsidRPr="002A0135">
            <w:rPr>
              <w:rFonts w:asciiTheme="majorBidi" w:hAnsiTheme="majorBidi" w:cstheme="majorBidi"/>
              <w:sz w:val="24"/>
              <w:szCs w:val="24"/>
              <w:u w:val="single"/>
            </w:rPr>
            <w:t>plusieurs pays d’Afrique australe et orientale</w:t>
          </w:r>
          <w:r w:rsidRPr="00B518AD">
            <w:rPr>
              <w:rFonts w:asciiTheme="majorBidi" w:hAnsiTheme="majorBidi" w:cstheme="majorBidi"/>
              <w:sz w:val="24"/>
              <w:szCs w:val="24"/>
            </w:rPr>
            <w:t xml:space="preserve">, dont l’Éthiopie, le Malawi et le Zimbabwe, </w:t>
          </w:r>
          <w:r w:rsidRPr="002A0135">
            <w:rPr>
              <w:rFonts w:asciiTheme="majorBidi" w:hAnsiTheme="majorBidi" w:cstheme="majorBidi"/>
              <w:sz w:val="24"/>
              <w:szCs w:val="24"/>
              <w:u w:val="single"/>
            </w:rPr>
            <w:t>pâtissent d’une grave sécheresse</w:t>
          </w:r>
          <w:r>
            <w:rPr>
              <w:rFonts w:asciiTheme="majorBidi" w:hAnsiTheme="majorBidi" w:cstheme="majorBidi"/>
              <w:sz w:val="24"/>
              <w:szCs w:val="24"/>
            </w:rPr>
            <w:t> ;</w:t>
          </w:r>
        </w:p>
        <w:p w:rsidR="004022BB" w:rsidRDefault="004022BB" w:rsidP="001762DA">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 xml:space="preserve">Paradoxalement, </w:t>
          </w:r>
          <w:r w:rsidRPr="005E361B">
            <w:rPr>
              <w:rFonts w:asciiTheme="majorBidi" w:hAnsiTheme="majorBidi" w:cstheme="majorBidi"/>
              <w:sz w:val="24"/>
              <w:szCs w:val="24"/>
            </w:rPr>
            <w:t xml:space="preserve">divers autres pays connaissent une croissance </w:t>
          </w:r>
          <w:r w:rsidR="00E279AF">
            <w:rPr>
              <w:rFonts w:asciiTheme="majorBidi" w:hAnsiTheme="majorBidi" w:cstheme="majorBidi"/>
              <w:sz w:val="24"/>
              <w:szCs w:val="24"/>
            </w:rPr>
            <w:t>robuste</w:t>
          </w:r>
          <w:r w:rsidRPr="005E361B">
            <w:rPr>
              <w:rFonts w:asciiTheme="majorBidi" w:hAnsiTheme="majorBidi" w:cstheme="majorBidi"/>
              <w:sz w:val="24"/>
              <w:szCs w:val="24"/>
            </w:rPr>
            <w:t xml:space="preserve">. En effet, </w:t>
          </w:r>
          <w:r w:rsidRPr="005E361B">
            <w:rPr>
              <w:rFonts w:asciiTheme="majorBidi" w:hAnsiTheme="majorBidi" w:cstheme="majorBidi"/>
              <w:b/>
              <w:bCs/>
              <w:sz w:val="24"/>
              <w:szCs w:val="24"/>
              <w:u w:val="single"/>
            </w:rPr>
            <w:t xml:space="preserve">la </w:t>
          </w:r>
          <w:r w:rsidR="00AF5D33">
            <w:rPr>
              <w:rFonts w:asciiTheme="majorBidi" w:hAnsiTheme="majorBidi" w:cstheme="majorBidi"/>
              <w:b/>
              <w:bCs/>
              <w:sz w:val="24"/>
              <w:szCs w:val="24"/>
              <w:u w:val="single"/>
            </w:rPr>
            <w:t>plupart</w:t>
          </w:r>
          <w:r w:rsidRPr="005E361B">
            <w:rPr>
              <w:rFonts w:asciiTheme="majorBidi" w:hAnsiTheme="majorBidi" w:cstheme="majorBidi"/>
              <w:b/>
              <w:bCs/>
              <w:sz w:val="24"/>
              <w:szCs w:val="24"/>
              <w:u w:val="single"/>
            </w:rPr>
            <w:t xml:space="preserve"> des pays </w:t>
          </w:r>
          <w:r w:rsidR="00AF5D33">
            <w:rPr>
              <w:rFonts w:asciiTheme="majorBidi" w:hAnsiTheme="majorBidi" w:cstheme="majorBidi"/>
              <w:b/>
              <w:bCs/>
              <w:sz w:val="24"/>
              <w:szCs w:val="24"/>
              <w:u w:val="single"/>
            </w:rPr>
            <w:t>qui importent</w:t>
          </w:r>
          <w:r w:rsidRPr="005E361B">
            <w:rPr>
              <w:rFonts w:asciiTheme="majorBidi" w:hAnsiTheme="majorBidi" w:cstheme="majorBidi"/>
              <w:b/>
              <w:bCs/>
              <w:sz w:val="24"/>
              <w:szCs w:val="24"/>
              <w:u w:val="single"/>
            </w:rPr>
            <w:t xml:space="preserve"> d</w:t>
          </w:r>
          <w:r w:rsidR="00AF5D33">
            <w:rPr>
              <w:rFonts w:asciiTheme="majorBidi" w:hAnsiTheme="majorBidi" w:cstheme="majorBidi"/>
              <w:b/>
              <w:bCs/>
              <w:sz w:val="24"/>
              <w:szCs w:val="24"/>
              <w:u w:val="single"/>
            </w:rPr>
            <w:t>u</w:t>
          </w:r>
          <w:r w:rsidRPr="005E361B">
            <w:rPr>
              <w:rFonts w:asciiTheme="majorBidi" w:hAnsiTheme="majorBidi" w:cstheme="majorBidi"/>
              <w:b/>
              <w:bCs/>
              <w:sz w:val="24"/>
              <w:szCs w:val="24"/>
              <w:u w:val="single"/>
            </w:rPr>
            <w:t xml:space="preserve"> pétrole s’en sortent généralement mieux et </w:t>
          </w:r>
          <w:r w:rsidR="00AF5D33">
            <w:rPr>
              <w:rFonts w:asciiTheme="majorBidi" w:hAnsiTheme="majorBidi" w:cstheme="majorBidi"/>
              <w:b/>
              <w:bCs/>
              <w:sz w:val="24"/>
              <w:szCs w:val="24"/>
              <w:u w:val="single"/>
            </w:rPr>
            <w:t>présentent</w:t>
          </w:r>
          <w:r w:rsidRPr="005E361B">
            <w:rPr>
              <w:rFonts w:asciiTheme="majorBidi" w:hAnsiTheme="majorBidi" w:cstheme="majorBidi"/>
              <w:b/>
              <w:bCs/>
              <w:sz w:val="24"/>
              <w:szCs w:val="24"/>
              <w:u w:val="single"/>
            </w:rPr>
            <w:t xml:space="preserve"> des taux de croissance supérieurs à 5 %</w:t>
          </w:r>
          <w:r w:rsidRPr="005E361B">
            <w:rPr>
              <w:rFonts w:asciiTheme="majorBidi" w:hAnsiTheme="majorBidi" w:cstheme="majorBidi"/>
              <w:sz w:val="24"/>
              <w:szCs w:val="24"/>
            </w:rPr>
            <w:t>, voire bien plus dans certains pays tels que la Côte d’Ivoire, le Kenya et le Sénégal. Dans presque tous ces pays,</w:t>
          </w:r>
          <w:r w:rsidRPr="00BD1E13">
            <w:rPr>
              <w:rFonts w:asciiTheme="majorBidi" w:hAnsiTheme="majorBidi" w:cstheme="majorBidi"/>
              <w:b/>
              <w:bCs/>
              <w:sz w:val="24"/>
              <w:szCs w:val="24"/>
              <w:u w:val="single"/>
            </w:rPr>
            <w:t xml:space="preserve"> la croissance économique </w:t>
          </w:r>
          <w:r w:rsidR="001762DA">
            <w:rPr>
              <w:rFonts w:asciiTheme="majorBidi" w:hAnsiTheme="majorBidi" w:cstheme="majorBidi"/>
              <w:b/>
              <w:bCs/>
              <w:sz w:val="24"/>
              <w:szCs w:val="24"/>
              <w:u w:val="single"/>
            </w:rPr>
            <w:t>se base</w:t>
          </w:r>
          <w:r w:rsidRPr="00BD1E13">
            <w:rPr>
              <w:rFonts w:asciiTheme="majorBidi" w:hAnsiTheme="majorBidi" w:cstheme="majorBidi"/>
              <w:b/>
              <w:bCs/>
              <w:sz w:val="24"/>
              <w:szCs w:val="24"/>
              <w:u w:val="single"/>
            </w:rPr>
            <w:t xml:space="preserve"> sur les investissements d’infrastructure </w:t>
          </w:r>
          <w:r w:rsidRPr="005E361B">
            <w:rPr>
              <w:rFonts w:asciiTheme="majorBidi" w:hAnsiTheme="majorBidi" w:cstheme="majorBidi"/>
              <w:sz w:val="24"/>
              <w:szCs w:val="24"/>
            </w:rPr>
            <w:t xml:space="preserve">en cours et </w:t>
          </w:r>
          <w:r w:rsidRPr="00BD1E13">
            <w:rPr>
              <w:rFonts w:asciiTheme="majorBidi" w:hAnsiTheme="majorBidi" w:cstheme="majorBidi"/>
              <w:b/>
              <w:bCs/>
              <w:sz w:val="24"/>
              <w:szCs w:val="24"/>
              <w:u w:val="single"/>
            </w:rPr>
            <w:t>le dynamisme de la consommation privée</w:t>
          </w:r>
          <w:r w:rsidRPr="005E361B">
            <w:rPr>
              <w:rFonts w:asciiTheme="majorBidi" w:hAnsiTheme="majorBidi" w:cstheme="majorBidi"/>
              <w:sz w:val="24"/>
              <w:szCs w:val="24"/>
            </w:rPr>
            <w:t>. La chute des cours du pétrole a aussi aidé ces pays, mais dans des proportions en général moins fortes que prévu, car dans nombre d’entre eux la baisse des cours des autres produits de base et la dépréciation du taux de change ont en partie contrebalancé cet avantage.</w:t>
          </w:r>
        </w:p>
        <w:p w:rsidR="004022BB" w:rsidRDefault="004022BB" w:rsidP="004022BB">
          <w:pPr>
            <w:pStyle w:val="Paragraphedeliste"/>
            <w:spacing w:line="360" w:lineRule="auto"/>
            <w:jc w:val="both"/>
            <w:rPr>
              <w:rFonts w:ascii="Times New Roman" w:hAnsi="Times New Roman" w:cs="Times New Roman"/>
              <w:b/>
              <w:bCs/>
              <w:color w:val="000000"/>
              <w:sz w:val="40"/>
              <w:szCs w:val="40"/>
            </w:rPr>
          </w:pPr>
        </w:p>
        <w:p w:rsidR="004022BB" w:rsidRDefault="004022BB" w:rsidP="004022BB">
          <w:pPr>
            <w:pStyle w:val="Paragraphedeliste"/>
            <w:spacing w:line="360" w:lineRule="auto"/>
            <w:jc w:val="both"/>
            <w:rPr>
              <w:rFonts w:ascii="Times New Roman" w:hAnsi="Times New Roman" w:cs="Times New Roman"/>
              <w:b/>
              <w:bCs/>
              <w:color w:val="000000"/>
              <w:sz w:val="40"/>
              <w:szCs w:val="40"/>
            </w:rPr>
          </w:pPr>
          <w:r w:rsidRPr="00A33BE3">
            <w:rPr>
              <w:rFonts w:ascii="Times New Roman" w:hAnsi="Times New Roman" w:cs="Times New Roman"/>
              <w:b/>
              <w:bCs/>
              <w:color w:val="000000"/>
              <w:sz w:val="40"/>
              <w:szCs w:val="40"/>
            </w:rPr>
            <w:lastRenderedPageBreak/>
            <w:t>Moyen-Orient, Afrique du Nord, Afghanistan et Pakistan</w:t>
          </w:r>
        </w:p>
        <w:p w:rsidR="004022BB" w:rsidRDefault="004022BB" w:rsidP="004022BB">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sidRPr="00622BE2">
            <w:rPr>
              <w:rFonts w:asciiTheme="majorBidi" w:hAnsiTheme="majorBidi" w:cstheme="majorBidi"/>
              <w:sz w:val="24"/>
              <w:szCs w:val="24"/>
            </w:rPr>
            <w:t>La faiblesse des cours du pétrole et l’aggravation des conflits continuent de peser sur l’activité économique dans la région MOANAP.</w:t>
          </w:r>
        </w:p>
        <w:p w:rsidR="00A237CA" w:rsidRDefault="00A237CA" w:rsidP="00A237CA">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La</w:t>
          </w:r>
          <w:r w:rsidR="004022BB" w:rsidRPr="007419BC">
            <w:rPr>
              <w:rFonts w:asciiTheme="majorBidi" w:hAnsiTheme="majorBidi" w:cstheme="majorBidi"/>
              <w:sz w:val="24"/>
              <w:szCs w:val="24"/>
            </w:rPr>
            <w:t xml:space="preserve"> croissance de la </w:t>
          </w:r>
          <w:r>
            <w:rPr>
              <w:rFonts w:asciiTheme="majorBidi" w:hAnsiTheme="majorBidi" w:cstheme="majorBidi"/>
              <w:sz w:val="24"/>
              <w:szCs w:val="24"/>
            </w:rPr>
            <w:t>majorité</w:t>
          </w:r>
          <w:r w:rsidR="004022BB" w:rsidRPr="007419BC">
            <w:rPr>
              <w:rFonts w:asciiTheme="majorBidi" w:hAnsiTheme="majorBidi" w:cstheme="majorBidi"/>
              <w:sz w:val="24"/>
              <w:szCs w:val="24"/>
            </w:rPr>
            <w:t xml:space="preserve"> des pays exportateurs de pétrole </w:t>
          </w:r>
          <w:r w:rsidRPr="007419BC">
            <w:rPr>
              <w:rFonts w:asciiTheme="majorBidi" w:hAnsiTheme="majorBidi" w:cstheme="majorBidi"/>
              <w:sz w:val="24"/>
              <w:szCs w:val="24"/>
            </w:rPr>
            <w:t>a</w:t>
          </w:r>
          <w:r w:rsidR="004022BB" w:rsidRPr="007419BC">
            <w:rPr>
              <w:rFonts w:asciiTheme="majorBidi" w:hAnsiTheme="majorBidi" w:cstheme="majorBidi"/>
              <w:sz w:val="24"/>
              <w:szCs w:val="24"/>
            </w:rPr>
            <w:t xml:space="preserve"> </w:t>
          </w:r>
          <w:r>
            <w:rPr>
              <w:rFonts w:asciiTheme="majorBidi" w:hAnsiTheme="majorBidi" w:cstheme="majorBidi"/>
              <w:sz w:val="24"/>
              <w:szCs w:val="24"/>
            </w:rPr>
            <w:t>présenté des tendances</w:t>
          </w:r>
          <w:r w:rsidR="004022BB" w:rsidRPr="007419BC">
            <w:rPr>
              <w:rFonts w:asciiTheme="majorBidi" w:hAnsiTheme="majorBidi" w:cstheme="majorBidi"/>
              <w:sz w:val="24"/>
              <w:szCs w:val="24"/>
            </w:rPr>
            <w:t xml:space="preserve"> à la baisse depuis le mois d’octobre</w:t>
          </w:r>
          <w:r>
            <w:rPr>
              <w:rFonts w:asciiTheme="majorBidi" w:hAnsiTheme="majorBidi" w:cstheme="majorBidi"/>
              <w:sz w:val="24"/>
              <w:szCs w:val="24"/>
            </w:rPr>
            <w:t xml:space="preserve"> 2015</w:t>
          </w:r>
          <w:r w:rsidR="004022BB" w:rsidRPr="007419BC">
            <w:rPr>
              <w:rFonts w:asciiTheme="majorBidi" w:hAnsiTheme="majorBidi" w:cstheme="majorBidi"/>
              <w:sz w:val="24"/>
              <w:szCs w:val="24"/>
            </w:rPr>
            <w:t xml:space="preserve">, la débâcle se </w:t>
          </w:r>
          <w:r>
            <w:rPr>
              <w:rFonts w:asciiTheme="majorBidi" w:hAnsiTheme="majorBidi" w:cstheme="majorBidi"/>
              <w:sz w:val="24"/>
              <w:szCs w:val="24"/>
            </w:rPr>
            <w:t>continuant</w:t>
          </w:r>
          <w:r w:rsidR="004022BB" w:rsidRPr="007419BC">
            <w:rPr>
              <w:rFonts w:asciiTheme="majorBidi" w:hAnsiTheme="majorBidi" w:cstheme="majorBidi"/>
              <w:sz w:val="24"/>
              <w:szCs w:val="24"/>
            </w:rPr>
            <w:t xml:space="preserve"> sur le marché mondial du pétrole. </w:t>
          </w:r>
        </w:p>
        <w:p w:rsidR="004022BB" w:rsidRDefault="00A237CA" w:rsidP="00A502C7">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Selon IMF, s</w:t>
          </w:r>
          <w:r w:rsidR="004022BB" w:rsidRPr="007419BC">
            <w:rPr>
              <w:rFonts w:asciiTheme="majorBidi" w:hAnsiTheme="majorBidi" w:cstheme="majorBidi"/>
              <w:sz w:val="24"/>
              <w:szCs w:val="24"/>
            </w:rPr>
            <w:t xml:space="preserve">i les projections </w:t>
          </w:r>
          <w:r>
            <w:rPr>
              <w:rFonts w:asciiTheme="majorBidi" w:hAnsiTheme="majorBidi" w:cstheme="majorBidi"/>
              <w:sz w:val="24"/>
              <w:szCs w:val="24"/>
            </w:rPr>
            <w:t>anticipent</w:t>
          </w:r>
          <w:r w:rsidR="004022BB" w:rsidRPr="007419BC">
            <w:rPr>
              <w:rFonts w:asciiTheme="majorBidi" w:hAnsiTheme="majorBidi" w:cstheme="majorBidi"/>
              <w:sz w:val="24"/>
              <w:szCs w:val="24"/>
            </w:rPr>
            <w:t xml:space="preserve"> que le taux de croissance des pays exportateurs de pétrole passera de 2 % en 2015 à 3 % cette année, c’est </w:t>
          </w:r>
          <w:r w:rsidR="009E2A90">
            <w:rPr>
              <w:rFonts w:asciiTheme="majorBidi" w:hAnsiTheme="majorBidi" w:cstheme="majorBidi"/>
              <w:sz w:val="24"/>
              <w:szCs w:val="24"/>
            </w:rPr>
            <w:t>essentiellement</w:t>
          </w:r>
          <w:r w:rsidR="004022BB" w:rsidRPr="007419BC">
            <w:rPr>
              <w:rFonts w:asciiTheme="majorBidi" w:hAnsiTheme="majorBidi" w:cstheme="majorBidi"/>
              <w:sz w:val="24"/>
              <w:szCs w:val="24"/>
            </w:rPr>
            <w:t xml:space="preserve"> </w:t>
          </w:r>
          <w:r w:rsidR="009E2A90">
            <w:rPr>
              <w:rFonts w:asciiTheme="majorBidi" w:hAnsiTheme="majorBidi" w:cstheme="majorBidi"/>
              <w:sz w:val="24"/>
              <w:szCs w:val="24"/>
            </w:rPr>
            <w:t>à cause</w:t>
          </w:r>
          <w:r w:rsidR="004022BB" w:rsidRPr="007419BC">
            <w:rPr>
              <w:rFonts w:asciiTheme="majorBidi" w:hAnsiTheme="majorBidi" w:cstheme="majorBidi"/>
              <w:sz w:val="24"/>
              <w:szCs w:val="24"/>
            </w:rPr>
            <w:t xml:space="preserve"> de </w:t>
          </w:r>
          <w:r w:rsidR="009E2A90">
            <w:rPr>
              <w:rFonts w:asciiTheme="majorBidi" w:hAnsiTheme="majorBidi" w:cstheme="majorBidi"/>
              <w:sz w:val="24"/>
              <w:szCs w:val="24"/>
            </w:rPr>
            <w:t>l’</w:t>
          </w:r>
          <w:r w:rsidR="009E2A90" w:rsidRPr="009E2A90">
            <w:rPr>
              <w:rFonts w:asciiTheme="majorBidi" w:hAnsiTheme="majorBidi" w:cstheme="majorBidi"/>
              <w:sz w:val="24"/>
              <w:szCs w:val="24"/>
            </w:rPr>
            <w:t>accélération</w:t>
          </w:r>
          <w:r w:rsidR="009E2A90" w:rsidRPr="007419BC">
            <w:rPr>
              <w:rFonts w:asciiTheme="majorBidi" w:hAnsiTheme="majorBidi" w:cstheme="majorBidi"/>
              <w:sz w:val="24"/>
              <w:szCs w:val="24"/>
            </w:rPr>
            <w:t xml:space="preserve"> </w:t>
          </w:r>
          <w:r w:rsidR="004022BB" w:rsidRPr="007419BC">
            <w:rPr>
              <w:rFonts w:asciiTheme="majorBidi" w:hAnsiTheme="majorBidi" w:cstheme="majorBidi"/>
              <w:sz w:val="24"/>
              <w:szCs w:val="24"/>
            </w:rPr>
            <w:t xml:space="preserve">de la production pétrolière </w:t>
          </w:r>
          <w:r w:rsidR="00A502C7">
            <w:rPr>
              <w:rFonts w:asciiTheme="majorBidi" w:hAnsiTheme="majorBidi" w:cstheme="majorBidi"/>
              <w:sz w:val="24"/>
              <w:szCs w:val="24"/>
            </w:rPr>
            <w:t>en Iraq, et en Iran, suite à l’abolition</w:t>
          </w:r>
          <w:r w:rsidR="004022BB" w:rsidRPr="007419BC">
            <w:rPr>
              <w:rFonts w:asciiTheme="majorBidi" w:hAnsiTheme="majorBidi" w:cstheme="majorBidi"/>
              <w:sz w:val="24"/>
              <w:szCs w:val="24"/>
            </w:rPr>
            <w:t xml:space="preserve"> des sanctions dont ce pays faisait l’objet. </w:t>
          </w:r>
        </w:p>
        <w:p w:rsidR="004022BB" w:rsidRDefault="000D650F" w:rsidP="00FF471B">
          <w:pPr>
            <w:pStyle w:val="Paragraphedeliste"/>
            <w:numPr>
              <w:ilvl w:val="0"/>
              <w:numId w:val="7"/>
            </w:numPr>
            <w:spacing w:before="100" w:beforeAutospacing="1" w:after="100" w:afterAutospacing="1" w:line="360" w:lineRule="auto"/>
            <w:ind w:left="714" w:hanging="357"/>
            <w:jc w:val="both"/>
            <w:rPr>
              <w:rFonts w:asciiTheme="majorBidi" w:hAnsiTheme="majorBidi" w:cstheme="majorBidi"/>
              <w:sz w:val="24"/>
              <w:szCs w:val="24"/>
            </w:rPr>
          </w:pPr>
          <w:r>
            <w:rPr>
              <w:rFonts w:asciiTheme="majorBidi" w:hAnsiTheme="majorBidi" w:cstheme="majorBidi"/>
              <w:sz w:val="24"/>
              <w:szCs w:val="24"/>
            </w:rPr>
            <w:t>Selon les projection</w:t>
          </w:r>
          <w:r w:rsidR="00A956EA">
            <w:rPr>
              <w:rFonts w:asciiTheme="majorBidi" w:hAnsiTheme="majorBidi" w:cstheme="majorBidi"/>
              <w:sz w:val="24"/>
              <w:szCs w:val="24"/>
            </w:rPr>
            <w:t>s</w:t>
          </w:r>
          <w:r>
            <w:rPr>
              <w:rFonts w:asciiTheme="majorBidi" w:hAnsiTheme="majorBidi" w:cstheme="majorBidi"/>
              <w:sz w:val="24"/>
              <w:szCs w:val="24"/>
            </w:rPr>
            <w:t xml:space="preserve"> d</w:t>
          </w:r>
          <w:r w:rsidR="00730DCE">
            <w:rPr>
              <w:rFonts w:asciiTheme="majorBidi" w:hAnsiTheme="majorBidi" w:cstheme="majorBidi"/>
              <w:sz w:val="24"/>
              <w:szCs w:val="24"/>
            </w:rPr>
            <w:t>’</w:t>
          </w:r>
          <w:r>
            <w:rPr>
              <w:rFonts w:asciiTheme="majorBidi" w:hAnsiTheme="majorBidi" w:cstheme="majorBidi"/>
              <w:sz w:val="24"/>
              <w:szCs w:val="24"/>
            </w:rPr>
            <w:t>IMF, l</w:t>
          </w:r>
          <w:r w:rsidR="004022BB" w:rsidRPr="007419BC">
            <w:rPr>
              <w:rFonts w:asciiTheme="majorBidi" w:hAnsiTheme="majorBidi" w:cstheme="majorBidi"/>
              <w:sz w:val="24"/>
              <w:szCs w:val="24"/>
            </w:rPr>
            <w:t xml:space="preserve">’activité économique </w:t>
          </w:r>
          <w:r w:rsidR="00FF471B">
            <w:rPr>
              <w:rFonts w:asciiTheme="majorBidi" w:hAnsiTheme="majorBidi" w:cstheme="majorBidi"/>
              <w:sz w:val="24"/>
              <w:szCs w:val="24"/>
            </w:rPr>
            <w:t>enregistrait</w:t>
          </w:r>
          <w:r w:rsidR="004022BB" w:rsidRPr="007419BC">
            <w:rPr>
              <w:rFonts w:asciiTheme="majorBidi" w:hAnsiTheme="majorBidi" w:cstheme="majorBidi"/>
              <w:sz w:val="24"/>
              <w:szCs w:val="24"/>
            </w:rPr>
            <w:t xml:space="preserve"> </w:t>
          </w:r>
          <w:r w:rsidR="00FF471B">
            <w:rPr>
              <w:rFonts w:asciiTheme="majorBidi" w:hAnsiTheme="majorBidi" w:cstheme="majorBidi"/>
              <w:sz w:val="24"/>
              <w:szCs w:val="24"/>
            </w:rPr>
            <w:t>un ralentissement</w:t>
          </w:r>
          <w:r w:rsidR="004022BB" w:rsidRPr="007419BC">
            <w:rPr>
              <w:rFonts w:asciiTheme="majorBidi" w:hAnsiTheme="majorBidi" w:cstheme="majorBidi"/>
              <w:sz w:val="24"/>
              <w:szCs w:val="24"/>
            </w:rPr>
            <w:t xml:space="preserve"> dans les pays du CCG.</w:t>
          </w:r>
          <w:r w:rsidR="002512C5">
            <w:rPr>
              <w:rFonts w:asciiTheme="majorBidi" w:hAnsiTheme="majorBidi" w:cstheme="majorBidi"/>
              <w:sz w:val="24"/>
              <w:szCs w:val="24"/>
            </w:rPr>
            <w:t xml:space="preserve"> </w:t>
          </w:r>
          <w:r w:rsidR="004022BB" w:rsidRPr="007419BC">
            <w:rPr>
              <w:rFonts w:asciiTheme="majorBidi" w:hAnsiTheme="majorBidi" w:cstheme="majorBidi"/>
              <w:sz w:val="24"/>
              <w:szCs w:val="24"/>
            </w:rPr>
            <w:t xml:space="preserve"> Malgré les </w:t>
          </w:r>
          <w:r w:rsidR="00865E27">
            <w:rPr>
              <w:rFonts w:asciiTheme="majorBidi" w:hAnsiTheme="majorBidi" w:cstheme="majorBidi"/>
              <w:sz w:val="24"/>
              <w:szCs w:val="24"/>
            </w:rPr>
            <w:t>reformes</w:t>
          </w:r>
          <w:r w:rsidR="004022BB" w:rsidRPr="007419BC">
            <w:rPr>
              <w:rFonts w:asciiTheme="majorBidi" w:hAnsiTheme="majorBidi" w:cstheme="majorBidi"/>
              <w:sz w:val="24"/>
              <w:szCs w:val="24"/>
            </w:rPr>
            <w:t xml:space="preserve"> </w:t>
          </w:r>
          <w:r w:rsidR="00DB329C">
            <w:rPr>
              <w:rFonts w:asciiTheme="majorBidi" w:hAnsiTheme="majorBidi" w:cstheme="majorBidi"/>
              <w:sz w:val="24"/>
              <w:szCs w:val="24"/>
            </w:rPr>
            <w:t>rigoureuses</w:t>
          </w:r>
          <w:r w:rsidR="004022BB" w:rsidRPr="007419BC">
            <w:rPr>
              <w:rFonts w:asciiTheme="majorBidi" w:hAnsiTheme="majorBidi" w:cstheme="majorBidi"/>
              <w:sz w:val="24"/>
              <w:szCs w:val="24"/>
            </w:rPr>
            <w:t xml:space="preserve"> </w:t>
          </w:r>
          <w:r w:rsidR="00865E27">
            <w:rPr>
              <w:rFonts w:asciiTheme="majorBidi" w:hAnsiTheme="majorBidi" w:cstheme="majorBidi"/>
              <w:sz w:val="24"/>
              <w:szCs w:val="24"/>
            </w:rPr>
            <w:t xml:space="preserve"> en matière </w:t>
          </w:r>
          <w:r w:rsidR="004022BB" w:rsidRPr="007419BC">
            <w:rPr>
              <w:rFonts w:asciiTheme="majorBidi" w:hAnsiTheme="majorBidi" w:cstheme="majorBidi"/>
              <w:sz w:val="24"/>
              <w:szCs w:val="24"/>
            </w:rPr>
            <w:t xml:space="preserve">d’assainissement budgétaire mises en </w:t>
          </w:r>
          <w:r w:rsidR="00DB329C">
            <w:rPr>
              <w:rFonts w:asciiTheme="majorBidi" w:hAnsiTheme="majorBidi" w:cstheme="majorBidi"/>
              <w:sz w:val="24"/>
              <w:szCs w:val="24"/>
            </w:rPr>
            <w:t>place</w:t>
          </w:r>
          <w:r w:rsidR="004022BB" w:rsidRPr="007419BC">
            <w:rPr>
              <w:rFonts w:asciiTheme="majorBidi" w:hAnsiTheme="majorBidi" w:cstheme="majorBidi"/>
              <w:sz w:val="24"/>
              <w:szCs w:val="24"/>
            </w:rPr>
            <w:t xml:space="preserve"> cette année, les soldes budgétaires se </w:t>
          </w:r>
          <w:r w:rsidR="004C6A8A" w:rsidRPr="007419BC">
            <w:rPr>
              <w:rFonts w:asciiTheme="majorBidi" w:hAnsiTheme="majorBidi" w:cstheme="majorBidi"/>
              <w:sz w:val="24"/>
              <w:szCs w:val="24"/>
            </w:rPr>
            <w:t>dé</w:t>
          </w:r>
          <w:r w:rsidR="004C6A8A">
            <w:rPr>
              <w:rFonts w:asciiTheme="majorBidi" w:hAnsiTheme="majorBidi" w:cstheme="majorBidi"/>
              <w:sz w:val="24"/>
              <w:szCs w:val="24"/>
            </w:rPr>
            <w:t>grade</w:t>
          </w:r>
          <w:r w:rsidR="004C6A8A" w:rsidRPr="007419BC">
            <w:rPr>
              <w:rFonts w:asciiTheme="majorBidi" w:hAnsiTheme="majorBidi" w:cstheme="majorBidi"/>
              <w:sz w:val="24"/>
              <w:szCs w:val="24"/>
            </w:rPr>
            <w:t>ront</w:t>
          </w:r>
          <w:r w:rsidR="004022BB" w:rsidRPr="007419BC">
            <w:rPr>
              <w:rFonts w:asciiTheme="majorBidi" w:hAnsiTheme="majorBidi" w:cstheme="majorBidi"/>
              <w:sz w:val="24"/>
              <w:szCs w:val="24"/>
            </w:rPr>
            <w:t xml:space="preserve"> </w:t>
          </w:r>
          <w:r w:rsidR="00DB329C">
            <w:rPr>
              <w:rFonts w:asciiTheme="majorBidi" w:hAnsiTheme="majorBidi" w:cstheme="majorBidi"/>
              <w:sz w:val="24"/>
              <w:szCs w:val="24"/>
            </w:rPr>
            <w:t>suite à la chute des cours du pétrole</w:t>
          </w:r>
          <w:r w:rsidR="004022BB" w:rsidRPr="007419BC">
            <w:rPr>
              <w:rFonts w:asciiTheme="majorBidi" w:hAnsiTheme="majorBidi" w:cstheme="majorBidi"/>
              <w:sz w:val="24"/>
              <w:szCs w:val="24"/>
            </w:rPr>
            <w:t xml:space="preserve">. </w:t>
          </w: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F9083B" w:rsidRDefault="00F9083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spacing w:before="100" w:beforeAutospacing="1" w:after="100" w:afterAutospacing="1" w:line="360" w:lineRule="auto"/>
            <w:jc w:val="both"/>
            <w:rPr>
              <w:rFonts w:asciiTheme="majorBidi" w:hAnsiTheme="majorBidi" w:cstheme="majorBidi"/>
              <w:sz w:val="24"/>
              <w:szCs w:val="24"/>
            </w:rPr>
          </w:pPr>
        </w:p>
        <w:p w:rsidR="004022BB" w:rsidRDefault="004022BB" w:rsidP="004022BB">
          <w:pPr>
            <w:pStyle w:val="Default"/>
            <w:spacing w:before="100" w:beforeAutospacing="1" w:after="100" w:afterAutospacing="1" w:line="360" w:lineRule="auto"/>
            <w:ind w:left="720"/>
            <w:jc w:val="both"/>
            <w:rPr>
              <w:b/>
              <w:bCs/>
              <w:sz w:val="32"/>
              <w:szCs w:val="32"/>
            </w:rPr>
          </w:pPr>
          <w:r>
            <w:rPr>
              <w:b/>
              <w:bCs/>
              <w:sz w:val="40"/>
              <w:szCs w:val="40"/>
            </w:rPr>
            <w:lastRenderedPageBreak/>
            <w:t>2- E</w:t>
          </w:r>
          <w:r>
            <w:rPr>
              <w:b/>
              <w:bCs/>
              <w:sz w:val="32"/>
              <w:szCs w:val="32"/>
            </w:rPr>
            <w:t xml:space="preserve">NVIRONNEMENT NATIONAL </w:t>
          </w:r>
        </w:p>
        <w:p w:rsidR="004022BB" w:rsidRPr="00BB29E3" w:rsidRDefault="004022BB" w:rsidP="004022BB">
          <w:pPr>
            <w:pStyle w:val="Default"/>
            <w:numPr>
              <w:ilvl w:val="0"/>
              <w:numId w:val="7"/>
            </w:numPr>
            <w:spacing w:before="100" w:beforeAutospacing="1" w:after="100" w:afterAutospacing="1" w:line="360" w:lineRule="auto"/>
            <w:jc w:val="both"/>
          </w:pPr>
          <w:r>
            <w:t>Selon la banque centrale : Au 1er trimestre 2016, la croissance du PIB, aux prix constants de 2010, s’est établie à 0,5% en variation trimestrielle (0,4% au prix de l’année précédente). Pour les prévisions pour le deuxième trimestre, la BCT prévoit une poursuite de la dynamique positive de l’activité mais à un rythme plus lent.</w:t>
          </w:r>
        </w:p>
        <w:p w:rsidR="004022BB" w:rsidRPr="00BB29E3" w:rsidRDefault="004022BB" w:rsidP="004022BB">
          <w:pPr>
            <w:pStyle w:val="Default"/>
            <w:numPr>
              <w:ilvl w:val="0"/>
              <w:numId w:val="7"/>
            </w:numPr>
            <w:spacing w:before="100" w:beforeAutospacing="1" w:after="100" w:afterAutospacing="1" w:line="360" w:lineRule="auto"/>
            <w:jc w:val="both"/>
          </w:pPr>
          <w:r>
            <w:t>Les chiffres du ministère du Tourisme affichent une baisse de 37.3% des nuitées touristiques au premier semestre 2016 ;</w:t>
          </w:r>
        </w:p>
        <w:p w:rsidR="004022BB" w:rsidRDefault="004022BB" w:rsidP="004022BB">
          <w:pPr>
            <w:pStyle w:val="Default"/>
            <w:numPr>
              <w:ilvl w:val="0"/>
              <w:numId w:val="7"/>
            </w:numPr>
            <w:spacing w:before="100" w:beforeAutospacing="1" w:after="100" w:afterAutospacing="1" w:line="360" w:lineRule="auto"/>
            <w:jc w:val="both"/>
          </w:pPr>
          <w:r>
            <w:t xml:space="preserve">Au terme des cinq premiers mois de l’année 2016, le cours du dinar par rapport au dollar a </w:t>
          </w:r>
          <w:r w:rsidR="00715F27">
            <w:t>marqué une chute</w:t>
          </w:r>
          <w:r>
            <w:t xml:space="preserve"> de 3,9% et de 5,8% par rapport à l’euro. Cette </w:t>
          </w:r>
          <w:r w:rsidR="00C0704D">
            <w:t>angoissante</w:t>
          </w:r>
          <w:r>
            <w:t xml:space="preserve"> </w:t>
          </w:r>
          <w:r w:rsidRPr="00C0704D">
            <w:rPr>
              <w:b/>
              <w:bCs/>
            </w:rPr>
            <w:t>dépréciation</w:t>
          </w:r>
          <w:r>
            <w:t xml:space="preserve"> est expliquée, selon la BCT, par une aggravation du déficit entre l’offre et la demande de devi</w:t>
          </w:r>
          <w:r w:rsidR="00C0704D">
            <w:t>ses étrangères ;</w:t>
          </w:r>
        </w:p>
        <w:p w:rsidR="004022BB" w:rsidRDefault="004022BB" w:rsidP="004022BB">
          <w:pPr>
            <w:pStyle w:val="Default"/>
            <w:numPr>
              <w:ilvl w:val="0"/>
              <w:numId w:val="7"/>
            </w:numPr>
            <w:spacing w:before="100" w:beforeAutospacing="1" w:after="100" w:afterAutospacing="1" w:line="360" w:lineRule="auto"/>
            <w:jc w:val="both"/>
          </w:pPr>
          <w:r w:rsidRPr="00072BC3">
            <w:t>Selon la BCT,</w:t>
          </w:r>
          <w:r>
            <w:t xml:space="preserve"> une stabilisation de l’inflation à 3.3% en mars 2016 à la faveur d’une quasi stagnation de l’IPC. </w:t>
          </w:r>
        </w:p>
        <w:p w:rsidR="004022BB" w:rsidRDefault="004022BB" w:rsidP="004022BB">
          <w:pPr>
            <w:pStyle w:val="Default"/>
            <w:numPr>
              <w:ilvl w:val="0"/>
              <w:numId w:val="7"/>
            </w:numPr>
            <w:spacing w:before="100" w:beforeAutospacing="1" w:after="100" w:afterAutospacing="1" w:line="360" w:lineRule="auto"/>
            <w:jc w:val="both"/>
          </w:pPr>
          <w:r>
            <w:t>Selon les projections de la BCT, l’inflation devrait augmenter à 3.5% en moyenne, au cours du deuxième trimestre, soit 3.6% pour toute l’année. En outre, une prévision de croissance du PIB de 2% en 2016.</w:t>
          </w:r>
        </w:p>
        <w:p w:rsidR="004022BB" w:rsidRPr="0085104A" w:rsidRDefault="002F13FC" w:rsidP="0062171C">
          <w:pPr>
            <w:pStyle w:val="Default"/>
            <w:numPr>
              <w:ilvl w:val="0"/>
              <w:numId w:val="7"/>
            </w:numPr>
            <w:spacing w:before="100" w:beforeAutospacing="1" w:after="100" w:afterAutospacing="1" w:line="360" w:lineRule="auto"/>
            <w:jc w:val="both"/>
          </w:pPr>
          <w:r>
            <w:t>Selon INS</w:t>
          </w:r>
          <w:r w:rsidR="00E06C9C">
            <w:t>,</w:t>
          </w:r>
          <w:r>
            <w:t xml:space="preserve"> </w:t>
          </w:r>
          <w:r w:rsidR="00380BF9">
            <w:t>durant les</w:t>
          </w:r>
          <w:r w:rsidR="004022BB" w:rsidRPr="0085104A">
            <w:t xml:space="preserve"> </w:t>
          </w:r>
          <w:r w:rsidR="006E37A3">
            <w:t>six premier mois</w:t>
          </w:r>
          <w:r w:rsidR="004022BB" w:rsidRPr="0085104A">
            <w:t xml:space="preserve"> de l’année 2016, les échanges commerciaux de la Tunisie ont </w:t>
          </w:r>
          <w:r w:rsidR="0062171C">
            <w:t>enregistré</w:t>
          </w:r>
          <w:r w:rsidR="004022BB" w:rsidRPr="0085104A">
            <w:t xml:space="preserve"> en volume une </w:t>
          </w:r>
          <w:r>
            <w:t>chute</w:t>
          </w:r>
          <w:r w:rsidR="004022BB" w:rsidRPr="0085104A">
            <w:t xml:space="preserve"> à l’export de 2,8% et une </w:t>
          </w:r>
          <w:r>
            <w:t>augmentation</w:t>
          </w:r>
          <w:r w:rsidR="004022BB" w:rsidRPr="0085104A">
            <w:t xml:space="preserve"> à l’import de 3,5%. Cette évolution </w:t>
          </w:r>
          <w:r>
            <w:t xml:space="preserve">est causée par </w:t>
          </w:r>
          <w:r w:rsidR="004022BB" w:rsidRPr="0085104A">
            <w:t xml:space="preserve">une hausse </w:t>
          </w:r>
          <w:r w:rsidR="00404701">
            <w:t xml:space="preserve">des prix à l’export de 1,6% et par </w:t>
          </w:r>
          <w:r w:rsidR="004022BB" w:rsidRPr="0085104A">
            <w:t>une baisse des prix à l’import de 4,8%.</w:t>
          </w:r>
        </w:p>
        <w:p w:rsidR="004022BB" w:rsidRDefault="00911C64" w:rsidP="00911C64">
          <w:pPr>
            <w:pStyle w:val="Default"/>
            <w:numPr>
              <w:ilvl w:val="0"/>
              <w:numId w:val="7"/>
            </w:numPr>
            <w:spacing w:before="100" w:beforeAutospacing="1" w:after="100" w:afterAutospacing="1" w:line="360" w:lineRule="auto"/>
            <w:jc w:val="both"/>
          </w:pPr>
          <w:r>
            <w:t>Selon INS</w:t>
          </w:r>
          <w:r w:rsidR="004022BB" w:rsidRPr="0085104A">
            <w:t xml:space="preserve">, </w:t>
          </w:r>
          <w:r>
            <w:t>le commerce extérieur de la Tunisie</w:t>
          </w:r>
          <w:r w:rsidR="004022BB" w:rsidRPr="0085104A">
            <w:t xml:space="preserve"> </w:t>
          </w:r>
          <w:r>
            <w:t>(en valeurs courantes) a atteint au cours du premier semestre de 2016 la valeur de</w:t>
          </w:r>
          <w:r w:rsidR="004022BB" w:rsidRPr="0085104A">
            <w:t xml:space="preserve"> 14255,3 MD</w:t>
          </w:r>
          <w:r w:rsidR="004022BB">
            <w:t>T</w:t>
          </w:r>
          <w:r w:rsidR="004022BB" w:rsidRPr="0085104A">
            <w:t xml:space="preserve"> </w:t>
          </w:r>
          <w:r>
            <w:t>au niveau des</w:t>
          </w:r>
          <w:r w:rsidR="004022BB" w:rsidRPr="0085104A">
            <w:t xml:space="preserve"> exportations et 20289,4 MD</w:t>
          </w:r>
          <w:r w:rsidR="004022BB">
            <w:t>T</w:t>
          </w:r>
          <w:r w:rsidR="004022BB" w:rsidRPr="0085104A">
            <w:t xml:space="preserve"> </w:t>
          </w:r>
          <w:r>
            <w:t>au niveau des</w:t>
          </w:r>
          <w:r w:rsidR="004022BB" w:rsidRPr="0085104A">
            <w:t xml:space="preserve"> importations, enregistrant ainsi des baisses à prix courant respectivement de l’ordre de 1,3%  et de  1,5%  par rapport à la même période  de l’année 2015.</w:t>
          </w:r>
        </w:p>
        <w:p w:rsidR="004022BB" w:rsidRDefault="004022BB" w:rsidP="004022BB">
          <w:pPr>
            <w:pStyle w:val="Default"/>
            <w:numPr>
              <w:ilvl w:val="0"/>
              <w:numId w:val="7"/>
            </w:numPr>
            <w:spacing w:before="100" w:beforeAutospacing="1" w:after="100" w:afterAutospacing="1" w:line="360" w:lineRule="auto"/>
            <w:jc w:val="both"/>
          </w:pPr>
          <w:r>
            <w:t>Le taux de chômage augmente et passe de 15% fin 2014 à 15,4% fin 2015 et au premier trimestre de 2016.</w:t>
          </w:r>
        </w:p>
        <w:p w:rsidR="004022BB" w:rsidRDefault="004022BB" w:rsidP="004022BB">
          <w:pPr>
            <w:pStyle w:val="Default"/>
            <w:numPr>
              <w:ilvl w:val="0"/>
              <w:numId w:val="7"/>
            </w:numPr>
            <w:spacing w:before="100" w:beforeAutospacing="1" w:after="100" w:afterAutospacing="1" w:line="360" w:lineRule="auto"/>
            <w:jc w:val="both"/>
          </w:pPr>
          <w:r>
            <w:t>Le déficit des paiements extérieurs courants a atteint au premier trimestre de 2016 (</w:t>
          </w:r>
          <w:r w:rsidRPr="00C77B81">
            <w:t>-1758,30 MDT)</w:t>
          </w:r>
          <w:r>
            <w:t xml:space="preserve">. Il constitue le principal problème de l’économie tunisienne, à côté du chômage. Les recettes d’exportations de biens et services et les revenus provenant de </w:t>
          </w:r>
          <w:r>
            <w:lastRenderedPageBreak/>
            <w:t>l’extérieur ne couvrent pas les besoins pour les importations et revenus transférés vers l’extérieur (intérêts et bénéfices).</w:t>
          </w:r>
        </w:p>
        <w:p w:rsidR="004022BB" w:rsidRDefault="004022BB" w:rsidP="004022BB">
          <w:pPr>
            <w:pStyle w:val="Default"/>
            <w:numPr>
              <w:ilvl w:val="0"/>
              <w:numId w:val="8"/>
            </w:numPr>
            <w:spacing w:before="100" w:beforeAutospacing="1" w:after="100" w:afterAutospacing="1" w:line="360" w:lineRule="auto"/>
            <w:jc w:val="both"/>
          </w:pPr>
          <w:r>
            <w:t>La reprise de l’activité économique serait modeste en 2016 grâce à la conjonction de deux facteurs : i) la baisse attendue de la production d’huile d’olive ; ii) la stagnation du secteur touristique.</w:t>
          </w:r>
        </w:p>
        <w:p w:rsidR="004022BB" w:rsidRPr="00F159E9" w:rsidRDefault="004022BB" w:rsidP="004022BB"/>
        <w:p w:rsidR="004022BB" w:rsidRDefault="004022BB" w:rsidP="004022BB"/>
        <w:p w:rsidR="004022BB" w:rsidRDefault="004022BB" w:rsidP="004022BB"/>
        <w:p w:rsidR="004022BB" w:rsidRDefault="004022BB" w:rsidP="004022BB"/>
        <w:p w:rsidR="004022BB" w:rsidRDefault="004022BB" w:rsidP="004022BB"/>
        <w:p w:rsidR="004022BB" w:rsidRDefault="004022BB" w:rsidP="004022BB"/>
        <w:p w:rsidR="004022BB" w:rsidRDefault="004022BB" w:rsidP="004022BB">
          <w:pPr>
            <w:rPr>
              <w:rFonts w:asciiTheme="majorBidi" w:hAnsiTheme="majorBidi" w:cstheme="majorBidi"/>
              <w:b/>
              <w:bCs/>
              <w:sz w:val="28"/>
              <w:szCs w:val="28"/>
            </w:rPr>
          </w:pPr>
          <w:r w:rsidRPr="00C31C4D">
            <w:rPr>
              <w:rFonts w:asciiTheme="majorBidi" w:hAnsiTheme="majorBidi" w:cstheme="majorBidi"/>
              <w:b/>
              <w:bCs/>
              <w:sz w:val="28"/>
              <w:szCs w:val="28"/>
            </w:rPr>
            <w:t>Bibliographie :</w:t>
          </w:r>
        </w:p>
        <w:p w:rsidR="001E160F" w:rsidRPr="001E160F" w:rsidRDefault="001E160F" w:rsidP="001E160F">
          <w:pPr>
            <w:spacing w:line="360" w:lineRule="auto"/>
            <w:rPr>
              <w:rFonts w:asciiTheme="majorBidi" w:hAnsiTheme="majorBidi" w:cstheme="majorBidi"/>
              <w:sz w:val="24"/>
              <w:szCs w:val="24"/>
            </w:rPr>
          </w:pPr>
          <w:r w:rsidRPr="00DB0B20">
            <w:rPr>
              <w:rFonts w:asciiTheme="majorBidi" w:hAnsiTheme="majorBidi" w:cstheme="majorBidi"/>
              <w:sz w:val="24"/>
              <w:szCs w:val="24"/>
            </w:rPr>
            <w:t>Banque Centrale de Tunisie,</w:t>
          </w:r>
          <w:r>
            <w:rPr>
              <w:rFonts w:asciiTheme="majorBidi" w:hAnsiTheme="majorBidi" w:cstheme="majorBidi"/>
              <w:sz w:val="24"/>
              <w:szCs w:val="24"/>
            </w:rPr>
            <w:t xml:space="preserve"> </w:t>
          </w:r>
          <w:r w:rsidRPr="001E160F">
            <w:rPr>
              <w:rFonts w:asciiTheme="majorBidi" w:hAnsiTheme="majorBidi" w:cstheme="majorBidi"/>
              <w:b/>
              <w:bCs/>
              <w:sz w:val="24"/>
              <w:szCs w:val="24"/>
            </w:rPr>
            <w:t>Juillet 2016</w:t>
          </w:r>
          <w:r>
            <w:rPr>
              <w:rFonts w:asciiTheme="majorBidi" w:hAnsiTheme="majorBidi" w:cstheme="majorBidi"/>
              <w:sz w:val="24"/>
              <w:szCs w:val="24"/>
            </w:rPr>
            <w:t>, « </w:t>
          </w:r>
          <w:r w:rsidRPr="001E160F">
            <w:rPr>
              <w:rFonts w:asciiTheme="majorBidi" w:hAnsiTheme="majorBidi" w:cstheme="majorBidi"/>
              <w:sz w:val="24"/>
              <w:szCs w:val="24"/>
            </w:rPr>
            <w:t>Évolutions monétaires et conjoncturelles et perspectives a moyen terme ».</w:t>
          </w:r>
        </w:p>
        <w:p w:rsidR="004022BB" w:rsidRDefault="004022BB" w:rsidP="004022BB">
          <w:pPr>
            <w:tabs>
              <w:tab w:val="left" w:pos="8175"/>
            </w:tabs>
            <w:jc w:val="both"/>
            <w:rPr>
              <w:rFonts w:asciiTheme="majorBidi" w:hAnsiTheme="majorBidi" w:cstheme="majorBidi"/>
              <w:sz w:val="24"/>
              <w:szCs w:val="24"/>
            </w:rPr>
          </w:pPr>
          <w:r w:rsidRPr="00C31C4D">
            <w:rPr>
              <w:rFonts w:asciiTheme="majorBidi" w:hAnsiTheme="majorBidi" w:cstheme="majorBidi"/>
              <w:sz w:val="24"/>
              <w:szCs w:val="24"/>
            </w:rPr>
            <w:t xml:space="preserve">FMI, </w:t>
          </w:r>
          <w:r w:rsidRPr="00C31C4D">
            <w:rPr>
              <w:rFonts w:asciiTheme="majorBidi" w:hAnsiTheme="majorBidi" w:cstheme="majorBidi"/>
              <w:b/>
              <w:bCs/>
              <w:sz w:val="24"/>
              <w:szCs w:val="24"/>
            </w:rPr>
            <w:t>Janvier 2016</w:t>
          </w:r>
          <w:r>
            <w:rPr>
              <w:rFonts w:asciiTheme="majorBidi" w:hAnsiTheme="majorBidi" w:cstheme="majorBidi"/>
              <w:sz w:val="24"/>
              <w:szCs w:val="24"/>
            </w:rPr>
            <w:t>,</w:t>
          </w:r>
          <w:r w:rsidRPr="00C31C4D">
            <w:rPr>
              <w:rFonts w:asciiTheme="majorBidi" w:hAnsiTheme="majorBidi" w:cstheme="majorBidi"/>
              <w:sz w:val="24"/>
              <w:szCs w:val="24"/>
            </w:rPr>
            <w:t> « Perspectives de l'économie mondiale ».</w:t>
          </w:r>
        </w:p>
        <w:p w:rsidR="00A67C67" w:rsidRDefault="00A67C67" w:rsidP="001E160F">
          <w:pPr>
            <w:tabs>
              <w:tab w:val="left" w:pos="817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FMI, </w:t>
          </w:r>
          <w:r w:rsidRPr="00A67C67">
            <w:rPr>
              <w:rFonts w:asciiTheme="majorBidi" w:hAnsiTheme="majorBidi" w:cstheme="majorBidi"/>
              <w:b/>
              <w:bCs/>
              <w:sz w:val="24"/>
              <w:szCs w:val="24"/>
            </w:rPr>
            <w:t>Avril 2016,</w:t>
          </w:r>
          <w:r>
            <w:rPr>
              <w:rFonts w:asciiTheme="majorBidi" w:hAnsiTheme="majorBidi" w:cstheme="majorBidi"/>
              <w:sz w:val="24"/>
              <w:szCs w:val="24"/>
            </w:rPr>
            <w:t xml:space="preserve"> « </w:t>
          </w:r>
          <w:r w:rsidRPr="00A67C67">
            <w:rPr>
              <w:rFonts w:asciiTheme="majorBidi" w:hAnsiTheme="majorBidi" w:cstheme="majorBidi"/>
              <w:sz w:val="24"/>
              <w:szCs w:val="24"/>
            </w:rPr>
            <w:t>Perspectives économiques régionales: Afrique Subsaharienne: un changement s'impose</w:t>
          </w:r>
          <w:r>
            <w:rPr>
              <w:rFonts w:asciiTheme="majorBidi" w:hAnsiTheme="majorBidi" w:cstheme="majorBidi"/>
              <w:sz w:val="24"/>
              <w:szCs w:val="24"/>
            </w:rPr>
            <w:t> ».</w:t>
          </w:r>
          <w:r w:rsidR="009D6A0C">
            <w:rPr>
              <w:rFonts w:asciiTheme="majorBidi" w:hAnsiTheme="majorBidi" w:cstheme="majorBidi"/>
              <w:sz w:val="24"/>
              <w:szCs w:val="24"/>
            </w:rPr>
            <w:t xml:space="preserve"> </w:t>
          </w:r>
        </w:p>
        <w:p w:rsidR="00533932" w:rsidRPr="00C31C4D" w:rsidRDefault="00533932" w:rsidP="001E160F">
          <w:pPr>
            <w:tabs>
              <w:tab w:val="left" w:pos="8175"/>
            </w:tabs>
            <w:spacing w:line="360" w:lineRule="auto"/>
            <w:jc w:val="both"/>
            <w:rPr>
              <w:rFonts w:asciiTheme="majorBidi" w:hAnsiTheme="majorBidi" w:cstheme="majorBidi"/>
              <w:sz w:val="24"/>
              <w:szCs w:val="24"/>
            </w:rPr>
          </w:pPr>
          <w:r w:rsidRPr="00533932">
            <w:rPr>
              <w:rFonts w:asciiTheme="majorBidi" w:hAnsiTheme="majorBidi" w:cstheme="majorBidi"/>
              <w:sz w:val="24"/>
              <w:szCs w:val="24"/>
            </w:rPr>
            <w:t>INS,</w:t>
          </w:r>
          <w:r w:rsidRPr="00533932">
            <w:rPr>
              <w:rFonts w:asciiTheme="majorBidi" w:hAnsiTheme="majorBidi" w:cstheme="majorBidi"/>
              <w:b/>
              <w:bCs/>
              <w:sz w:val="24"/>
              <w:szCs w:val="24"/>
            </w:rPr>
            <w:t xml:space="preserve"> Juin 2016,</w:t>
          </w:r>
          <w:r>
            <w:t xml:space="preserve"> </w:t>
          </w:r>
          <w:r w:rsidRPr="00533932">
            <w:rPr>
              <w:rFonts w:asciiTheme="majorBidi" w:hAnsiTheme="majorBidi" w:cstheme="majorBidi"/>
              <w:sz w:val="24"/>
              <w:szCs w:val="24"/>
            </w:rPr>
            <w:t>« Commerce extérieur à prix constants Base 2010 Juin : 2016 ».</w:t>
          </w:r>
        </w:p>
        <w:p w:rsidR="004022BB" w:rsidRDefault="004022BB" w:rsidP="004022BB">
          <w:pPr>
            <w:jc w:val="both"/>
            <w:rPr>
              <w:rFonts w:asciiTheme="majorBidi" w:hAnsiTheme="majorBidi" w:cstheme="majorBidi"/>
              <w:sz w:val="24"/>
              <w:szCs w:val="24"/>
              <w:lang w:val="en-US"/>
            </w:rPr>
          </w:pPr>
          <w:r w:rsidRPr="00C31C4D">
            <w:rPr>
              <w:rFonts w:asciiTheme="majorBidi" w:hAnsiTheme="majorBidi" w:cstheme="majorBidi"/>
              <w:sz w:val="24"/>
              <w:szCs w:val="24"/>
              <w:lang w:val="en-US"/>
            </w:rPr>
            <w:t xml:space="preserve">UNCTAD, </w:t>
          </w:r>
          <w:r w:rsidRPr="00C31C4D">
            <w:rPr>
              <w:rFonts w:asciiTheme="majorBidi" w:hAnsiTheme="majorBidi" w:cstheme="majorBidi"/>
              <w:b/>
              <w:bCs/>
              <w:sz w:val="24"/>
              <w:szCs w:val="24"/>
              <w:lang w:val="en-US"/>
            </w:rPr>
            <w:t>2015</w:t>
          </w:r>
          <w:r>
            <w:rPr>
              <w:rFonts w:asciiTheme="majorBidi" w:hAnsiTheme="majorBidi" w:cstheme="majorBidi"/>
              <w:sz w:val="24"/>
              <w:szCs w:val="24"/>
              <w:lang w:val="en-US"/>
            </w:rPr>
            <w:t>,</w:t>
          </w:r>
          <w:r w:rsidRPr="00F159E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C31C4D">
            <w:rPr>
              <w:rFonts w:asciiTheme="majorBidi" w:hAnsiTheme="majorBidi" w:cstheme="majorBidi"/>
              <w:sz w:val="24"/>
              <w:szCs w:val="24"/>
              <w:lang w:val="en-US"/>
            </w:rPr>
            <w:t>Trade and development Report, 2015</w:t>
          </w:r>
          <w:r>
            <w:rPr>
              <w:rFonts w:asciiTheme="majorBidi" w:hAnsiTheme="majorBidi" w:cstheme="majorBidi"/>
              <w:sz w:val="24"/>
              <w:szCs w:val="24"/>
              <w:lang w:val="en-US"/>
            </w:rPr>
            <w:t xml:space="preserve"> </w:t>
          </w:r>
          <w:r w:rsidRPr="00F159E9">
            <w:rPr>
              <w:rFonts w:asciiTheme="majorBidi" w:hAnsiTheme="majorBidi" w:cstheme="majorBidi"/>
              <w:sz w:val="24"/>
              <w:szCs w:val="24"/>
              <w:lang w:val="en-US"/>
            </w:rPr>
            <w:t>»</w:t>
          </w:r>
          <w:r w:rsidRPr="00C31C4D">
            <w:rPr>
              <w:rFonts w:asciiTheme="majorBidi" w:hAnsiTheme="majorBidi" w:cstheme="majorBidi"/>
              <w:sz w:val="24"/>
              <w:szCs w:val="24"/>
              <w:lang w:val="en-US"/>
            </w:rPr>
            <w:t>.</w:t>
          </w:r>
        </w:p>
        <w:p w:rsidR="004022BB" w:rsidRDefault="004022BB" w:rsidP="004022BB">
          <w:pPr>
            <w:pStyle w:val="Titre3"/>
            <w:shd w:val="clear" w:color="auto" w:fill="FFFFFF"/>
            <w:spacing w:line="276" w:lineRule="auto"/>
            <w:jc w:val="both"/>
            <w:rPr>
              <w:rFonts w:asciiTheme="majorBidi" w:eastAsiaTheme="minorHAnsi" w:hAnsiTheme="majorBidi" w:cstheme="majorBidi"/>
              <w:b w:val="0"/>
              <w:bCs w:val="0"/>
              <w:sz w:val="24"/>
              <w:szCs w:val="24"/>
              <w:lang w:val="en-US" w:eastAsia="en-US"/>
            </w:rPr>
          </w:pPr>
          <w:r w:rsidRPr="00C31C4D">
            <w:rPr>
              <w:rFonts w:asciiTheme="majorBidi" w:eastAsiaTheme="minorHAnsi" w:hAnsiTheme="majorBidi" w:cstheme="majorBidi"/>
              <w:b w:val="0"/>
              <w:bCs w:val="0"/>
              <w:sz w:val="24"/>
              <w:szCs w:val="24"/>
              <w:lang w:val="en-US" w:eastAsia="en-US"/>
            </w:rPr>
            <w:t>World Bank</w:t>
          </w:r>
          <w:r>
            <w:rPr>
              <w:rFonts w:asciiTheme="majorBidi" w:eastAsiaTheme="minorHAnsi" w:hAnsiTheme="majorBidi" w:cstheme="majorBidi"/>
              <w:b w:val="0"/>
              <w:bCs w:val="0"/>
              <w:sz w:val="24"/>
              <w:szCs w:val="24"/>
              <w:lang w:val="en-US" w:eastAsia="en-US"/>
            </w:rPr>
            <w:t xml:space="preserve">, </w:t>
          </w:r>
          <w:r w:rsidRPr="00C44A5C">
            <w:rPr>
              <w:rFonts w:asciiTheme="majorBidi" w:eastAsiaTheme="minorHAnsi" w:hAnsiTheme="majorBidi" w:cstheme="majorBidi"/>
              <w:sz w:val="24"/>
              <w:szCs w:val="24"/>
              <w:lang w:val="en-US" w:eastAsia="en-US"/>
            </w:rPr>
            <w:t>January</w:t>
          </w:r>
          <w:r w:rsidRPr="00C31C4D">
            <w:rPr>
              <w:rFonts w:asciiTheme="majorBidi" w:eastAsiaTheme="minorHAnsi" w:hAnsiTheme="majorBidi" w:cstheme="majorBidi"/>
              <w:b w:val="0"/>
              <w:bCs w:val="0"/>
              <w:sz w:val="24"/>
              <w:szCs w:val="24"/>
              <w:lang w:val="en-US" w:eastAsia="en-US"/>
            </w:rPr>
            <w:t xml:space="preserve"> </w:t>
          </w:r>
          <w:r w:rsidRPr="00C31C4D">
            <w:rPr>
              <w:rFonts w:asciiTheme="majorBidi" w:eastAsiaTheme="minorHAnsi" w:hAnsiTheme="majorBidi" w:cstheme="majorBidi"/>
              <w:sz w:val="24"/>
              <w:szCs w:val="24"/>
              <w:lang w:val="en-US" w:eastAsia="en-US"/>
            </w:rPr>
            <w:t>201</w:t>
          </w:r>
          <w:r>
            <w:rPr>
              <w:rFonts w:asciiTheme="majorBidi" w:eastAsiaTheme="minorHAnsi" w:hAnsiTheme="majorBidi" w:cstheme="majorBidi"/>
              <w:sz w:val="24"/>
              <w:szCs w:val="24"/>
              <w:lang w:val="en-US" w:eastAsia="en-US"/>
            </w:rPr>
            <w:t>6</w:t>
          </w:r>
          <w:r>
            <w:rPr>
              <w:rFonts w:asciiTheme="majorBidi" w:eastAsiaTheme="minorHAnsi" w:hAnsiTheme="majorBidi" w:cstheme="majorBidi"/>
              <w:b w:val="0"/>
              <w:bCs w:val="0"/>
              <w:sz w:val="24"/>
              <w:szCs w:val="24"/>
              <w:lang w:val="en-US" w:eastAsia="en-US"/>
            </w:rPr>
            <w:t>,</w:t>
          </w:r>
          <w:r w:rsidRPr="00F159E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C31C4D">
            <w:rPr>
              <w:rFonts w:asciiTheme="majorBidi" w:eastAsiaTheme="minorHAnsi" w:hAnsiTheme="majorBidi" w:cstheme="majorBidi"/>
              <w:b w:val="0"/>
              <w:bCs w:val="0"/>
              <w:sz w:val="24"/>
              <w:szCs w:val="24"/>
              <w:lang w:val="en-US" w:eastAsia="en-US"/>
            </w:rPr>
            <w:t>Global Economic Prospects</w:t>
          </w:r>
          <w:r w:rsidRPr="00F159E9">
            <w:rPr>
              <w:rFonts w:asciiTheme="majorBidi" w:hAnsiTheme="majorBidi" w:cstheme="majorBidi"/>
              <w:sz w:val="24"/>
              <w:szCs w:val="24"/>
              <w:lang w:val="en-US"/>
            </w:rPr>
            <w:t>»</w:t>
          </w:r>
          <w:r w:rsidRPr="00C31C4D">
            <w:rPr>
              <w:rFonts w:asciiTheme="majorBidi" w:eastAsiaTheme="minorHAnsi" w:hAnsiTheme="majorBidi" w:cstheme="majorBidi"/>
              <w:b w:val="0"/>
              <w:bCs w:val="0"/>
              <w:sz w:val="24"/>
              <w:szCs w:val="24"/>
              <w:lang w:val="en-US" w:eastAsia="en-US"/>
            </w:rPr>
            <w:t>.</w:t>
          </w:r>
        </w:p>
        <w:p w:rsidR="004022BB" w:rsidRDefault="004022BB" w:rsidP="004022BB">
          <w:pPr>
            <w:pStyle w:val="Titre3"/>
            <w:shd w:val="clear" w:color="auto" w:fill="FFFFFF"/>
            <w:spacing w:line="276" w:lineRule="auto"/>
            <w:jc w:val="both"/>
            <w:rPr>
              <w:rFonts w:asciiTheme="majorBidi" w:eastAsiaTheme="minorHAnsi" w:hAnsiTheme="majorBidi" w:cstheme="majorBidi"/>
              <w:b w:val="0"/>
              <w:bCs w:val="0"/>
              <w:sz w:val="24"/>
              <w:szCs w:val="24"/>
              <w:lang w:val="en-US" w:eastAsia="en-US"/>
            </w:rPr>
          </w:pPr>
          <w:r w:rsidRPr="00C31C4D">
            <w:rPr>
              <w:rFonts w:asciiTheme="majorBidi" w:eastAsiaTheme="minorHAnsi" w:hAnsiTheme="majorBidi" w:cstheme="majorBidi"/>
              <w:b w:val="0"/>
              <w:bCs w:val="0"/>
              <w:sz w:val="24"/>
              <w:szCs w:val="24"/>
              <w:lang w:val="en-US" w:eastAsia="en-US"/>
            </w:rPr>
            <w:t>World Bank</w:t>
          </w:r>
          <w:r>
            <w:rPr>
              <w:rFonts w:asciiTheme="majorBidi" w:eastAsiaTheme="minorHAnsi" w:hAnsiTheme="majorBidi" w:cstheme="majorBidi"/>
              <w:b w:val="0"/>
              <w:bCs w:val="0"/>
              <w:sz w:val="24"/>
              <w:szCs w:val="24"/>
              <w:lang w:val="en-US" w:eastAsia="en-US"/>
            </w:rPr>
            <w:t xml:space="preserve">, </w:t>
          </w:r>
          <w:r w:rsidRPr="00C44A5C">
            <w:rPr>
              <w:rFonts w:asciiTheme="majorBidi" w:eastAsiaTheme="minorHAnsi" w:hAnsiTheme="majorBidi" w:cstheme="majorBidi"/>
              <w:sz w:val="24"/>
              <w:szCs w:val="24"/>
              <w:lang w:val="en-US" w:eastAsia="en-US"/>
            </w:rPr>
            <w:t>June</w:t>
          </w:r>
          <w:r>
            <w:rPr>
              <w:rFonts w:asciiTheme="majorBidi" w:eastAsiaTheme="minorHAnsi" w:hAnsiTheme="majorBidi" w:cstheme="majorBidi"/>
              <w:sz w:val="24"/>
              <w:szCs w:val="24"/>
              <w:lang w:val="en-US" w:eastAsia="en-US"/>
            </w:rPr>
            <w:t xml:space="preserve"> </w:t>
          </w:r>
          <w:r w:rsidRPr="00C44A5C">
            <w:rPr>
              <w:rFonts w:asciiTheme="majorBidi" w:eastAsiaTheme="minorHAnsi" w:hAnsiTheme="majorBidi" w:cstheme="majorBidi"/>
              <w:sz w:val="24"/>
              <w:szCs w:val="24"/>
              <w:lang w:val="en-US" w:eastAsia="en-US"/>
            </w:rPr>
            <w:t>2016</w:t>
          </w:r>
          <w:r>
            <w:rPr>
              <w:rFonts w:asciiTheme="majorBidi" w:eastAsiaTheme="minorHAnsi" w:hAnsiTheme="majorBidi" w:cstheme="majorBidi"/>
              <w:b w:val="0"/>
              <w:bCs w:val="0"/>
              <w:sz w:val="24"/>
              <w:szCs w:val="24"/>
              <w:lang w:val="en-US" w:eastAsia="en-US"/>
            </w:rPr>
            <w:t>,</w:t>
          </w:r>
          <w:r w:rsidRPr="00F159E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C44A5C">
            <w:rPr>
              <w:rFonts w:asciiTheme="majorBidi" w:eastAsiaTheme="minorHAnsi" w:hAnsiTheme="majorBidi" w:cstheme="majorBidi"/>
              <w:b w:val="0"/>
              <w:bCs w:val="0"/>
              <w:sz w:val="24"/>
              <w:szCs w:val="24"/>
              <w:lang w:val="en-US" w:eastAsia="en-US"/>
            </w:rPr>
            <w:t>Global Economic Prospects JUNE 2016 Divergences and Risks</w:t>
          </w:r>
          <w:r>
            <w:rPr>
              <w:rFonts w:asciiTheme="majorBidi" w:eastAsiaTheme="minorHAnsi" w:hAnsiTheme="majorBidi" w:cstheme="majorBidi"/>
              <w:b w:val="0"/>
              <w:bCs w:val="0"/>
              <w:sz w:val="24"/>
              <w:szCs w:val="24"/>
              <w:lang w:val="en-US" w:eastAsia="en-US"/>
            </w:rPr>
            <w:t xml:space="preserve"> </w:t>
          </w:r>
          <w:r w:rsidRPr="00C44A5C">
            <w:rPr>
              <w:rFonts w:asciiTheme="majorBidi" w:eastAsiaTheme="minorHAnsi" w:hAnsiTheme="majorBidi" w:cstheme="majorBidi"/>
              <w:b w:val="0"/>
              <w:bCs w:val="0"/>
              <w:sz w:val="24"/>
              <w:szCs w:val="24"/>
              <w:lang w:val="en-US" w:eastAsia="en-US"/>
            </w:rPr>
            <w:t>».</w:t>
          </w:r>
        </w:p>
        <w:p w:rsidR="00E8656F" w:rsidRPr="00C44A5C" w:rsidRDefault="00E8656F" w:rsidP="00E8656F">
          <w:pPr>
            <w:pStyle w:val="Titre3"/>
            <w:shd w:val="clear" w:color="auto" w:fill="FFFFFF"/>
            <w:spacing w:line="276" w:lineRule="auto"/>
            <w:jc w:val="both"/>
            <w:rPr>
              <w:rFonts w:asciiTheme="majorBidi" w:eastAsiaTheme="minorHAnsi" w:hAnsiTheme="majorBidi" w:cstheme="majorBidi"/>
              <w:b w:val="0"/>
              <w:bCs w:val="0"/>
              <w:sz w:val="24"/>
              <w:szCs w:val="24"/>
              <w:lang w:val="en-US" w:eastAsia="en-US"/>
            </w:rPr>
          </w:pPr>
          <w:r>
            <w:t xml:space="preserve"> </w:t>
          </w:r>
          <w:r>
            <w:rPr>
              <w:rtl/>
            </w:rPr>
            <w:t>نتائج التجارة الخارجية جوان 2016</w:t>
          </w:r>
          <w:r>
            <w:t> :</w:t>
          </w:r>
          <w:r w:rsidRPr="00E8656F">
            <w:rPr>
              <w:rFonts w:hint="cs"/>
              <w:rtl/>
            </w:rPr>
            <w:t>المعهد</w:t>
          </w:r>
          <w:r w:rsidRPr="00E8656F">
            <w:rPr>
              <w:rtl/>
            </w:rPr>
            <w:t xml:space="preserve"> </w:t>
          </w:r>
          <w:r w:rsidRPr="00E8656F">
            <w:rPr>
              <w:rFonts w:hint="cs"/>
              <w:rtl/>
            </w:rPr>
            <w:t>الوطني</w:t>
          </w:r>
          <w:r w:rsidRPr="00E8656F">
            <w:rPr>
              <w:rtl/>
            </w:rPr>
            <w:t xml:space="preserve"> </w:t>
          </w:r>
          <w:r w:rsidRPr="00E8656F">
            <w:rPr>
              <w:rFonts w:hint="cs"/>
              <w:rtl/>
            </w:rPr>
            <w:t>للاحصاء</w:t>
          </w:r>
          <w:r>
            <w:rPr>
              <w:rFonts w:hint="cs"/>
              <w:rtl/>
            </w:rPr>
            <w:t>  </w:t>
          </w:r>
        </w:p>
        <w:p w:rsidR="004022BB" w:rsidRPr="00D43607" w:rsidRDefault="00AF2070" w:rsidP="008133ED">
          <w:pPr>
            <w:pStyle w:val="Titre3"/>
            <w:shd w:val="clear" w:color="auto" w:fill="FFFFFF"/>
            <w:spacing w:line="276" w:lineRule="auto"/>
            <w:jc w:val="both"/>
            <w:rPr>
              <w:rFonts w:asciiTheme="majorBidi" w:hAnsiTheme="majorBidi" w:cstheme="majorBidi"/>
              <w:b w:val="0"/>
              <w:bCs w:val="0"/>
            </w:rPr>
          </w:pPr>
        </w:p>
      </w:sdtContent>
    </w:sdt>
    <w:p w:rsidR="00C005B8" w:rsidRPr="004022BB" w:rsidRDefault="004022BB" w:rsidP="008133ED">
      <w:pPr>
        <w:jc w:val="right"/>
        <w:rPr>
          <w:lang w:val="en-US"/>
        </w:rPr>
      </w:pPr>
      <w:r w:rsidRPr="005452F9">
        <w:rPr>
          <w:noProof/>
          <w:lang w:eastAsia="fr-FR"/>
        </w:rPr>
        <w:lastRenderedPageBreak/>
        <w:drawing>
          <wp:anchor distT="0" distB="0" distL="114300" distR="114300" simplePos="0" relativeHeight="251655680" behindDoc="0" locked="0" layoutInCell="1" allowOverlap="1">
            <wp:simplePos x="0" y="0"/>
            <wp:positionH relativeFrom="column">
              <wp:posOffset>-1057275</wp:posOffset>
            </wp:positionH>
            <wp:positionV relativeFrom="paragraph">
              <wp:posOffset>-1525270</wp:posOffset>
            </wp:positionV>
            <wp:extent cx="7555865" cy="11008360"/>
            <wp:effectExtent l="19050" t="0" r="6985" b="0"/>
            <wp:wrapTopAndBottom/>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555865" cy="11008360"/>
                    </a:xfrm>
                    <a:prstGeom prst="rect">
                      <a:avLst/>
                    </a:prstGeom>
                    <a:noFill/>
                    <a:ln w="9525">
                      <a:noFill/>
                      <a:miter lim="800000"/>
                      <a:headEnd/>
                      <a:tailEnd/>
                    </a:ln>
                  </pic:spPr>
                </pic:pic>
              </a:graphicData>
            </a:graphic>
          </wp:anchor>
        </w:drawing>
      </w:r>
    </w:p>
    <w:sectPr w:rsidR="00C005B8" w:rsidRPr="004022BB" w:rsidSect="008133ED">
      <w:headerReference w:type="default" r:id="rId11"/>
      <w:footerReference w:type="default" r:id="rId12"/>
      <w:pgSz w:w="11906" w:h="16838"/>
      <w:pgMar w:top="1417" w:right="1417" w:bottom="1417" w:left="1417" w:header="708" w:footer="1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345" w:rsidRDefault="008C1345" w:rsidP="004022BB">
      <w:pPr>
        <w:spacing w:after="0" w:line="240" w:lineRule="auto"/>
      </w:pPr>
      <w:r>
        <w:separator/>
      </w:r>
    </w:p>
  </w:endnote>
  <w:endnote w:type="continuationSeparator" w:id="0">
    <w:p w:rsidR="008C1345" w:rsidRDefault="008C1345" w:rsidP="004022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36505"/>
      <w:docPartObj>
        <w:docPartGallery w:val="Page Numbers (Bottom of Page)"/>
        <w:docPartUnique/>
      </w:docPartObj>
    </w:sdtPr>
    <w:sdtContent>
      <w:p w:rsidR="008133ED" w:rsidRDefault="00AF2070" w:rsidP="008133ED">
        <w:pPr>
          <w:pStyle w:val="Pieddepage"/>
          <w:ind w:right="-1134"/>
          <w:jc w:val="right"/>
        </w:pPr>
        <w:r w:rsidRPr="008133ED">
          <w:rPr>
            <w:rFonts w:asciiTheme="majorBidi" w:hAnsiTheme="majorBidi" w:cstheme="majorBidi"/>
            <w:b/>
            <w:bCs/>
          </w:rPr>
          <w:fldChar w:fldCharType="begin"/>
        </w:r>
        <w:r w:rsidR="008133ED" w:rsidRPr="008133ED">
          <w:rPr>
            <w:rFonts w:asciiTheme="majorBidi" w:hAnsiTheme="majorBidi" w:cstheme="majorBidi"/>
            <w:b/>
            <w:bCs/>
          </w:rPr>
          <w:instrText xml:space="preserve"> PAGE   \* MERGEFORMAT </w:instrText>
        </w:r>
        <w:r w:rsidRPr="008133ED">
          <w:rPr>
            <w:rFonts w:asciiTheme="majorBidi" w:hAnsiTheme="majorBidi" w:cstheme="majorBidi"/>
            <w:b/>
            <w:bCs/>
          </w:rPr>
          <w:fldChar w:fldCharType="separate"/>
        </w:r>
        <w:r w:rsidR="00BC07FF">
          <w:rPr>
            <w:rFonts w:asciiTheme="majorBidi" w:hAnsiTheme="majorBidi" w:cstheme="majorBidi"/>
            <w:b/>
            <w:bCs/>
            <w:noProof/>
          </w:rPr>
          <w:t>2</w:t>
        </w:r>
        <w:r w:rsidRPr="008133ED">
          <w:rPr>
            <w:rFonts w:asciiTheme="majorBidi" w:hAnsiTheme="majorBidi" w:cstheme="majorBidi"/>
            <w:b/>
            <w:bCs/>
          </w:rPr>
          <w:fldChar w:fldCharType="end"/>
        </w:r>
        <w:r w:rsidR="008133ED" w:rsidRPr="008133ED">
          <w:rPr>
            <w:rFonts w:ascii="Garamond" w:hAnsi="Garamond"/>
            <w:b/>
            <w:bCs/>
            <w:sz w:val="24"/>
            <w:szCs w:val="24"/>
          </w:rPr>
          <w:t xml:space="preserve">  </w:t>
        </w:r>
        <w:r w:rsidR="008133ED">
          <w:rPr>
            <w:rFonts w:ascii="Garamond" w:hAnsi="Garamond"/>
            <w:b/>
            <w:bCs/>
            <w:sz w:val="24"/>
            <w:szCs w:val="24"/>
          </w:rPr>
          <w:t xml:space="preserve">                                              </w:t>
        </w:r>
        <w:r w:rsidR="008133ED" w:rsidRPr="008A1AA2">
          <w:rPr>
            <w:rFonts w:ascii="Garamond" w:hAnsi="Garamond"/>
            <w:b/>
            <w:bCs/>
            <w:sz w:val="24"/>
            <w:szCs w:val="24"/>
          </w:rPr>
          <w:t>Direction Veille et Prospective</w:t>
        </w:r>
        <w:r w:rsidR="008133ED">
          <w:rPr>
            <w:rFonts w:ascii="Garamond" w:hAnsi="Garamond"/>
            <w:b/>
            <w:bCs/>
            <w:sz w:val="24"/>
            <w:szCs w:val="24"/>
          </w:rPr>
          <w:t>/ML</w:t>
        </w:r>
      </w:p>
      <w:p w:rsidR="008133ED" w:rsidRDefault="00AF2070">
        <w:pPr>
          <w:pStyle w:val="Pieddepage"/>
          <w:jc w:val="center"/>
        </w:pPr>
      </w:p>
    </w:sdtContent>
  </w:sdt>
  <w:p w:rsidR="008133ED" w:rsidRDefault="008133E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345" w:rsidRDefault="008C1345" w:rsidP="004022BB">
      <w:pPr>
        <w:spacing w:after="0" w:line="240" w:lineRule="auto"/>
      </w:pPr>
      <w:r>
        <w:separator/>
      </w:r>
    </w:p>
  </w:footnote>
  <w:footnote w:type="continuationSeparator" w:id="0">
    <w:p w:rsidR="008C1345" w:rsidRDefault="008C1345" w:rsidP="004022BB">
      <w:pPr>
        <w:spacing w:after="0" w:line="240" w:lineRule="auto"/>
      </w:pPr>
      <w:r>
        <w:continuationSeparator/>
      </w:r>
    </w:p>
  </w:footnote>
  <w:footnote w:id="1">
    <w:p w:rsidR="004022BB" w:rsidRPr="00F9083B" w:rsidRDefault="004022BB" w:rsidP="00F9083B">
      <w:pPr>
        <w:pStyle w:val="Titre3"/>
        <w:shd w:val="clear" w:color="auto" w:fill="FFFFFF"/>
        <w:spacing w:line="276" w:lineRule="auto"/>
        <w:jc w:val="both"/>
        <w:rPr>
          <w:lang w:val="en-US"/>
        </w:rPr>
      </w:pPr>
      <w:r w:rsidRPr="00F9083B">
        <w:rPr>
          <w:rFonts w:eastAsiaTheme="minorHAnsi"/>
          <w:b w:val="0"/>
          <w:bCs w:val="0"/>
          <w:sz w:val="20"/>
          <w:szCs w:val="20"/>
          <w:lang w:eastAsia="en-US"/>
        </w:rPr>
        <w:footnoteRef/>
      </w:r>
      <w:r w:rsidRPr="00F9083B">
        <w:rPr>
          <w:rFonts w:asciiTheme="majorBidi" w:eastAsiaTheme="minorHAnsi" w:hAnsiTheme="majorBidi" w:cstheme="majorBidi"/>
          <w:b w:val="0"/>
          <w:bCs w:val="0"/>
          <w:sz w:val="20"/>
          <w:szCs w:val="20"/>
          <w:lang w:val="en-US" w:eastAsia="en-US"/>
        </w:rPr>
        <w:t xml:space="preserve">  </w:t>
      </w:r>
      <w:r w:rsidR="00F9083B" w:rsidRPr="00F9083B">
        <w:rPr>
          <w:rFonts w:asciiTheme="majorBidi" w:eastAsiaTheme="minorHAnsi" w:hAnsiTheme="majorBidi" w:cstheme="majorBidi"/>
          <w:b w:val="0"/>
          <w:bCs w:val="0"/>
          <w:sz w:val="20"/>
          <w:szCs w:val="20"/>
          <w:lang w:val="en-US" w:eastAsia="en-US"/>
        </w:rPr>
        <w:t xml:space="preserve">World Bank, </w:t>
      </w:r>
      <w:r w:rsidR="00F9083B" w:rsidRPr="00F9083B">
        <w:rPr>
          <w:rFonts w:asciiTheme="majorBidi" w:eastAsiaTheme="minorHAnsi" w:hAnsiTheme="majorBidi" w:cstheme="majorBidi"/>
          <w:sz w:val="20"/>
          <w:szCs w:val="20"/>
          <w:lang w:val="en-US" w:eastAsia="en-US"/>
        </w:rPr>
        <w:t>January 2016</w:t>
      </w:r>
      <w:r w:rsidR="00F9083B" w:rsidRPr="00F9083B">
        <w:rPr>
          <w:rFonts w:asciiTheme="majorBidi" w:eastAsiaTheme="minorHAnsi" w:hAnsiTheme="majorBidi" w:cstheme="majorBidi"/>
          <w:b w:val="0"/>
          <w:bCs w:val="0"/>
          <w:sz w:val="20"/>
          <w:szCs w:val="20"/>
          <w:lang w:val="en-US" w:eastAsia="en-US"/>
        </w:rPr>
        <w:t>, « Global Economic Prospects».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bidiVisual/>
      <w:tblW w:w="16133"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3"/>
      <w:gridCol w:w="10500"/>
    </w:tblGrid>
    <w:tr w:rsidR="004022BB" w:rsidTr="005E1C90">
      <w:tc>
        <w:tcPr>
          <w:tcW w:w="5633" w:type="dxa"/>
          <w:vAlign w:val="center"/>
        </w:tcPr>
        <w:p w:rsidR="004022BB" w:rsidRDefault="004022BB" w:rsidP="005E1C90">
          <w:pPr>
            <w:pStyle w:val="En-tte"/>
            <w:rPr>
              <w:rtl/>
            </w:rPr>
          </w:pPr>
          <w:r>
            <w:rPr>
              <w:noProof/>
            </w:rPr>
            <w:drawing>
              <wp:inline distT="0" distB="0" distL="0" distR="0">
                <wp:extent cx="2215861" cy="534389"/>
                <wp:effectExtent l="19050" t="0" r="0"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2219325" cy="535224"/>
                        </a:xfrm>
                        <a:prstGeom prst="rect">
                          <a:avLst/>
                        </a:prstGeom>
                        <a:noFill/>
                        <a:ln w="9525">
                          <a:noFill/>
                          <a:miter lim="800000"/>
                          <a:headEnd/>
                          <a:tailEnd/>
                        </a:ln>
                      </pic:spPr>
                    </pic:pic>
                  </a:graphicData>
                </a:graphic>
              </wp:inline>
            </w:drawing>
          </w:r>
        </w:p>
      </w:tc>
      <w:tc>
        <w:tcPr>
          <w:tcW w:w="10500" w:type="dxa"/>
        </w:tcPr>
        <w:p w:rsidR="004022BB" w:rsidRDefault="004022BB" w:rsidP="005E1C90">
          <w:pPr>
            <w:pStyle w:val="En-tte"/>
            <w:tabs>
              <w:tab w:val="clear" w:pos="4536"/>
              <w:tab w:val="clear" w:pos="9072"/>
              <w:tab w:val="center" w:pos="4893"/>
              <w:tab w:val="right" w:pos="10534"/>
            </w:tabs>
            <w:jc w:val="right"/>
            <w:rPr>
              <w:rtl/>
            </w:rPr>
          </w:pPr>
          <w:r>
            <w:rPr>
              <w:rtl/>
            </w:rPr>
            <w:tab/>
          </w:r>
          <w:r w:rsidRPr="00F7202D">
            <w:rPr>
              <w:noProof/>
              <w:rtl/>
            </w:rPr>
            <w:drawing>
              <wp:inline distT="0" distB="0" distL="0" distR="0">
                <wp:extent cx="1049730" cy="904940"/>
                <wp:effectExtent l="19050" t="0" r="0" b="0"/>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srcRect/>
                        <a:stretch>
                          <a:fillRect/>
                        </a:stretch>
                      </pic:blipFill>
                      <pic:spPr bwMode="auto">
                        <a:xfrm>
                          <a:off x="0" y="0"/>
                          <a:ext cx="1052557" cy="907377"/>
                        </a:xfrm>
                        <a:prstGeom prst="rect">
                          <a:avLst/>
                        </a:prstGeom>
                        <a:noFill/>
                        <a:ln w="9525">
                          <a:noFill/>
                          <a:miter lim="800000"/>
                          <a:headEnd/>
                          <a:tailEnd/>
                        </a:ln>
                      </pic:spPr>
                    </pic:pic>
                  </a:graphicData>
                </a:graphic>
              </wp:inline>
            </w:drawing>
          </w:r>
          <w:r>
            <w:rPr>
              <w:rtl/>
            </w:rPr>
            <w:tab/>
          </w:r>
          <w:r>
            <w:rPr>
              <w:noProof/>
            </w:rPr>
            <w:drawing>
              <wp:inline distT="0" distB="0" distL="0" distR="0">
                <wp:extent cx="1049730" cy="904940"/>
                <wp:effectExtent l="19050" t="0" r="0" b="0"/>
                <wp:docPr id="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srcRect/>
                        <a:stretch>
                          <a:fillRect/>
                        </a:stretch>
                      </pic:blipFill>
                      <pic:spPr bwMode="auto">
                        <a:xfrm>
                          <a:off x="0" y="0"/>
                          <a:ext cx="1052557" cy="907377"/>
                        </a:xfrm>
                        <a:prstGeom prst="rect">
                          <a:avLst/>
                        </a:prstGeom>
                        <a:noFill/>
                        <a:ln w="9525">
                          <a:noFill/>
                          <a:miter lim="800000"/>
                          <a:headEnd/>
                          <a:tailEnd/>
                        </a:ln>
                      </pic:spPr>
                    </pic:pic>
                  </a:graphicData>
                </a:graphic>
              </wp:inline>
            </w:drawing>
          </w:r>
        </w:p>
      </w:tc>
    </w:tr>
  </w:tbl>
  <w:p w:rsidR="004022BB" w:rsidRDefault="004022BB" w:rsidP="004022B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226E"/>
    <w:multiLevelType w:val="hybridMultilevel"/>
    <w:tmpl w:val="28B86A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B62106D"/>
    <w:multiLevelType w:val="hybridMultilevel"/>
    <w:tmpl w:val="DCD44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D3338E"/>
    <w:multiLevelType w:val="hybridMultilevel"/>
    <w:tmpl w:val="ACAAA324"/>
    <w:lvl w:ilvl="0" w:tplc="0BA88C4C">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5A0701CC"/>
    <w:multiLevelType w:val="hybridMultilevel"/>
    <w:tmpl w:val="628AC9AE"/>
    <w:lvl w:ilvl="0" w:tplc="F24CFAE2">
      <w:start w:val="2"/>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7F7C37"/>
    <w:multiLevelType w:val="hybridMultilevel"/>
    <w:tmpl w:val="FE9C3316"/>
    <w:lvl w:ilvl="0" w:tplc="F6D8623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9BF0A8A"/>
    <w:multiLevelType w:val="hybridMultilevel"/>
    <w:tmpl w:val="97201CFC"/>
    <w:lvl w:ilvl="0" w:tplc="7890A54A">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A150789"/>
    <w:multiLevelType w:val="hybridMultilevel"/>
    <w:tmpl w:val="25267ABA"/>
    <w:lvl w:ilvl="0" w:tplc="4D9A74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FD1734A"/>
    <w:multiLevelType w:val="hybridMultilevel"/>
    <w:tmpl w:val="515E1AC8"/>
    <w:lvl w:ilvl="0" w:tplc="439C31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6"/>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022BB"/>
    <w:rsid w:val="000308EB"/>
    <w:rsid w:val="000563F4"/>
    <w:rsid w:val="000B36BA"/>
    <w:rsid w:val="000D650F"/>
    <w:rsid w:val="00141E20"/>
    <w:rsid w:val="001762DA"/>
    <w:rsid w:val="0018161C"/>
    <w:rsid w:val="001E160F"/>
    <w:rsid w:val="0020704F"/>
    <w:rsid w:val="00235FF3"/>
    <w:rsid w:val="002512C5"/>
    <w:rsid w:val="002A6C1D"/>
    <w:rsid w:val="002D719E"/>
    <w:rsid w:val="002F13FC"/>
    <w:rsid w:val="00304439"/>
    <w:rsid w:val="00337DBD"/>
    <w:rsid w:val="00360AF5"/>
    <w:rsid w:val="003775DD"/>
    <w:rsid w:val="00380BF9"/>
    <w:rsid w:val="003A310B"/>
    <w:rsid w:val="004022BB"/>
    <w:rsid w:val="00404701"/>
    <w:rsid w:val="00431A17"/>
    <w:rsid w:val="004B5E0A"/>
    <w:rsid w:val="004C6A8A"/>
    <w:rsid w:val="004C7FFD"/>
    <w:rsid w:val="004E1180"/>
    <w:rsid w:val="004F71BA"/>
    <w:rsid w:val="005235FE"/>
    <w:rsid w:val="00533932"/>
    <w:rsid w:val="00600DBC"/>
    <w:rsid w:val="0062171C"/>
    <w:rsid w:val="0069507E"/>
    <w:rsid w:val="006E09AF"/>
    <w:rsid w:val="006E37A3"/>
    <w:rsid w:val="00715F27"/>
    <w:rsid w:val="00730DCE"/>
    <w:rsid w:val="007C2AFC"/>
    <w:rsid w:val="008133ED"/>
    <w:rsid w:val="00846D5E"/>
    <w:rsid w:val="0085261A"/>
    <w:rsid w:val="00865383"/>
    <w:rsid w:val="00865E27"/>
    <w:rsid w:val="008C1345"/>
    <w:rsid w:val="00906474"/>
    <w:rsid w:val="00911C64"/>
    <w:rsid w:val="00946BA1"/>
    <w:rsid w:val="009566EF"/>
    <w:rsid w:val="00975060"/>
    <w:rsid w:val="009D6A0C"/>
    <w:rsid w:val="009E2A90"/>
    <w:rsid w:val="00A237CA"/>
    <w:rsid w:val="00A502C7"/>
    <w:rsid w:val="00A6126B"/>
    <w:rsid w:val="00A619A0"/>
    <w:rsid w:val="00A67C67"/>
    <w:rsid w:val="00A956EA"/>
    <w:rsid w:val="00AC3BBA"/>
    <w:rsid w:val="00AF2070"/>
    <w:rsid w:val="00AF5D33"/>
    <w:rsid w:val="00B4466C"/>
    <w:rsid w:val="00BA1D87"/>
    <w:rsid w:val="00BB6F6D"/>
    <w:rsid w:val="00BC07FF"/>
    <w:rsid w:val="00C005B8"/>
    <w:rsid w:val="00C04F71"/>
    <w:rsid w:val="00C0704D"/>
    <w:rsid w:val="00C14A13"/>
    <w:rsid w:val="00C77435"/>
    <w:rsid w:val="00D20A79"/>
    <w:rsid w:val="00DB329C"/>
    <w:rsid w:val="00DF5D47"/>
    <w:rsid w:val="00E06C9C"/>
    <w:rsid w:val="00E279AF"/>
    <w:rsid w:val="00E64E0B"/>
    <w:rsid w:val="00E8656F"/>
    <w:rsid w:val="00ED5073"/>
    <w:rsid w:val="00F9083B"/>
    <w:rsid w:val="00FC587D"/>
    <w:rsid w:val="00FF0F5A"/>
    <w:rsid w:val="00FF471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2BB"/>
  </w:style>
  <w:style w:type="paragraph" w:styleId="Titre3">
    <w:name w:val="heading 3"/>
    <w:basedOn w:val="Normal"/>
    <w:link w:val="Titre3Car"/>
    <w:uiPriority w:val="9"/>
    <w:qFormat/>
    <w:rsid w:val="004022B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022BB"/>
    <w:rPr>
      <w:rFonts w:ascii="Times New Roman" w:eastAsia="Times New Roman" w:hAnsi="Times New Roman" w:cs="Times New Roman"/>
      <w:b/>
      <w:bCs/>
      <w:sz w:val="27"/>
      <w:szCs w:val="27"/>
      <w:lang w:eastAsia="fr-FR"/>
    </w:rPr>
  </w:style>
  <w:style w:type="paragraph" w:styleId="Sansinterligne">
    <w:name w:val="No Spacing"/>
    <w:link w:val="SansinterligneCar"/>
    <w:uiPriority w:val="1"/>
    <w:qFormat/>
    <w:rsid w:val="004022B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022BB"/>
    <w:rPr>
      <w:rFonts w:eastAsiaTheme="minorEastAsia"/>
    </w:rPr>
  </w:style>
  <w:style w:type="paragraph" w:styleId="Paragraphedeliste">
    <w:name w:val="List Paragraph"/>
    <w:basedOn w:val="Normal"/>
    <w:uiPriority w:val="34"/>
    <w:qFormat/>
    <w:rsid w:val="004022BB"/>
    <w:pPr>
      <w:ind w:left="720"/>
      <w:contextualSpacing/>
    </w:pPr>
  </w:style>
  <w:style w:type="paragraph" w:styleId="Notedebasdepage">
    <w:name w:val="footnote text"/>
    <w:basedOn w:val="Normal"/>
    <w:link w:val="NotedebasdepageCar"/>
    <w:uiPriority w:val="99"/>
    <w:semiHidden/>
    <w:unhideWhenUsed/>
    <w:rsid w:val="004022B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022BB"/>
    <w:rPr>
      <w:sz w:val="20"/>
      <w:szCs w:val="20"/>
    </w:rPr>
  </w:style>
  <w:style w:type="character" w:styleId="Appelnotedebasdep">
    <w:name w:val="footnote reference"/>
    <w:basedOn w:val="Policepardfaut"/>
    <w:uiPriority w:val="99"/>
    <w:semiHidden/>
    <w:unhideWhenUsed/>
    <w:rsid w:val="004022BB"/>
    <w:rPr>
      <w:vertAlign w:val="superscript"/>
    </w:rPr>
  </w:style>
  <w:style w:type="character" w:customStyle="1" w:styleId="apple-converted-space">
    <w:name w:val="apple-converted-space"/>
    <w:basedOn w:val="Policepardfaut"/>
    <w:rsid w:val="004022BB"/>
  </w:style>
  <w:style w:type="paragraph" w:styleId="Textedebulles">
    <w:name w:val="Balloon Text"/>
    <w:basedOn w:val="Normal"/>
    <w:link w:val="TextedebullesCar"/>
    <w:uiPriority w:val="99"/>
    <w:semiHidden/>
    <w:unhideWhenUsed/>
    <w:rsid w:val="004022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22BB"/>
    <w:rPr>
      <w:rFonts w:ascii="Tahoma" w:hAnsi="Tahoma" w:cs="Tahoma"/>
      <w:sz w:val="16"/>
      <w:szCs w:val="16"/>
    </w:rPr>
  </w:style>
  <w:style w:type="paragraph" w:customStyle="1" w:styleId="Default">
    <w:name w:val="Default"/>
    <w:rsid w:val="004022BB"/>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4022BB"/>
    <w:pPr>
      <w:tabs>
        <w:tab w:val="center" w:pos="4536"/>
        <w:tab w:val="right" w:pos="9072"/>
      </w:tabs>
      <w:spacing w:after="0" w:line="240" w:lineRule="auto"/>
    </w:pPr>
  </w:style>
  <w:style w:type="character" w:customStyle="1" w:styleId="En-tteCar">
    <w:name w:val="En-tête Car"/>
    <w:basedOn w:val="Policepardfaut"/>
    <w:link w:val="En-tte"/>
    <w:uiPriority w:val="99"/>
    <w:rsid w:val="004022BB"/>
  </w:style>
  <w:style w:type="paragraph" w:styleId="Pieddepage">
    <w:name w:val="footer"/>
    <w:basedOn w:val="Normal"/>
    <w:link w:val="PieddepageCar"/>
    <w:uiPriority w:val="99"/>
    <w:unhideWhenUsed/>
    <w:rsid w:val="004022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22BB"/>
  </w:style>
  <w:style w:type="table" w:styleId="Grilledutableau">
    <w:name w:val="Table Grid"/>
    <w:basedOn w:val="TableauNormal"/>
    <w:rsid w:val="004022BB"/>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9E2A90"/>
    <w:rPr>
      <w:color w:val="0000FF"/>
      <w:u w:val="single"/>
    </w:rPr>
  </w:style>
</w:styles>
</file>

<file path=word/webSettings.xml><?xml version="1.0" encoding="utf-8"?>
<w:webSettings xmlns:r="http://schemas.openxmlformats.org/officeDocument/2006/relationships" xmlns:w="http://schemas.openxmlformats.org/wordprocessingml/2006/main">
  <w:divs>
    <w:div w:id="214160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3BAC5-FB46-4694-AF45-D3B57245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1254</Words>
  <Characters>6897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Note de Conjoncture n 2-2016</vt:lpstr>
    </vt:vector>
  </TitlesOfParts>
  <Company>Microsoft</Company>
  <LinksUpToDate>false</LinksUpToDate>
  <CharactersWithSpaces>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Conjoncture n 2-2016</dc:title>
  <dc:creator>MNI-LANDOLSI</dc:creator>
  <cp:lastModifiedBy>AOUEL CHAFIK</cp:lastModifiedBy>
  <cp:revision>2</cp:revision>
  <dcterms:created xsi:type="dcterms:W3CDTF">2016-08-22T09:22:00Z</dcterms:created>
  <dcterms:modified xsi:type="dcterms:W3CDTF">2016-08-22T09:22:00Z</dcterms:modified>
</cp:coreProperties>
</file>