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E90" w:rsidRPr="0043228E" w:rsidRDefault="00290E90" w:rsidP="00290E90">
      <w:pPr>
        <w:pStyle w:val="Titre1"/>
        <w:jc w:val="center"/>
        <w:rPr>
          <w:b/>
          <w:bCs w:val="0"/>
          <w:i w:val="0"/>
          <w:iCs w:val="0"/>
        </w:rPr>
      </w:pPr>
      <w:r w:rsidRPr="0043228E">
        <w:rPr>
          <w:b/>
          <w:bCs w:val="0"/>
          <w:i w:val="0"/>
          <w:iCs w:val="0"/>
        </w:rPr>
        <w:t>Ministère du Commerce</w:t>
      </w:r>
    </w:p>
    <w:p w:rsidR="00290E90" w:rsidRPr="0043228E" w:rsidRDefault="00290E90" w:rsidP="00290E90">
      <w:pPr>
        <w:pStyle w:val="Titre1"/>
        <w:jc w:val="center"/>
        <w:rPr>
          <w:b/>
          <w:bCs w:val="0"/>
          <w:i w:val="0"/>
          <w:iCs w:val="0"/>
        </w:rPr>
      </w:pPr>
      <w:r w:rsidRPr="0043228E">
        <w:rPr>
          <w:b/>
          <w:bCs w:val="0"/>
          <w:i w:val="0"/>
          <w:iCs w:val="0"/>
        </w:rPr>
        <w:t>3</w:t>
      </w:r>
      <w:r w:rsidRPr="0043228E">
        <w:rPr>
          <w:b/>
          <w:bCs w:val="0"/>
          <w:i w:val="0"/>
          <w:iCs w:val="0"/>
          <w:vertAlign w:val="superscript"/>
        </w:rPr>
        <w:t>ème</w:t>
      </w:r>
      <w:r w:rsidRPr="0043228E">
        <w:rPr>
          <w:b/>
          <w:bCs w:val="0"/>
          <w:i w:val="0"/>
          <w:iCs w:val="0"/>
        </w:rPr>
        <w:t xml:space="preserve"> Projet de Développement des Exportations</w:t>
      </w:r>
    </w:p>
    <w:p w:rsidR="007B17C5" w:rsidRPr="0043228E" w:rsidRDefault="007B17C5" w:rsidP="007B17C5">
      <w:pPr>
        <w:widowControl/>
        <w:jc w:val="center"/>
        <w:rPr>
          <w:rFonts w:ascii="Times New Roman" w:hAnsi="Times New Roman" w:cs="Times New Roman"/>
          <w:b/>
          <w:bCs/>
          <w:sz w:val="24"/>
          <w:szCs w:val="24"/>
          <w:lang w:val="fr-FR"/>
        </w:rPr>
      </w:pPr>
      <w:r w:rsidRPr="0043228E">
        <w:rPr>
          <w:rFonts w:ascii="Times New Roman" w:hAnsi="Times New Roman" w:cs="Times New Roman"/>
          <w:b/>
          <w:bCs/>
          <w:sz w:val="24"/>
          <w:szCs w:val="24"/>
          <w:lang w:val="fr-FR"/>
        </w:rPr>
        <w:t xml:space="preserve">Centre de Promotion des Exportations </w:t>
      </w:r>
    </w:p>
    <w:p w:rsidR="007B17C5" w:rsidRPr="0043228E" w:rsidRDefault="007B17C5" w:rsidP="007B17C5">
      <w:pPr>
        <w:widowControl/>
        <w:jc w:val="center"/>
        <w:rPr>
          <w:rFonts w:ascii="Times New Roman" w:hAnsi="Times New Roman" w:cs="Times New Roman"/>
          <w:b/>
          <w:bCs/>
          <w:sz w:val="24"/>
          <w:szCs w:val="24"/>
          <w:lang w:val="fr-FR"/>
        </w:rPr>
      </w:pPr>
      <w:r w:rsidRPr="0043228E">
        <w:rPr>
          <w:rFonts w:ascii="Times New Roman" w:hAnsi="Times New Roman" w:cs="Times New Roman"/>
          <w:b/>
          <w:bCs/>
          <w:sz w:val="24"/>
          <w:szCs w:val="24"/>
          <w:lang w:val="fr-FR"/>
        </w:rPr>
        <w:t>Fonds d’Appui à la Compétitivité et au Développement des Exportations</w:t>
      </w:r>
    </w:p>
    <w:p w:rsidR="007B17C5" w:rsidRDefault="007B17C5" w:rsidP="007B17C5">
      <w:pPr>
        <w:widowControl/>
        <w:jc w:val="center"/>
        <w:rPr>
          <w:rFonts w:ascii="Times New Roman" w:hAnsi="Times New Roman" w:cs="Times New Roman"/>
          <w:b/>
          <w:bCs/>
          <w:sz w:val="24"/>
          <w:szCs w:val="24"/>
          <w:lang w:val="fr-FR"/>
        </w:rPr>
      </w:pPr>
      <w:r w:rsidRPr="0043228E">
        <w:rPr>
          <w:rFonts w:ascii="Times New Roman" w:hAnsi="Times New Roman" w:cs="Times New Roman"/>
          <w:b/>
          <w:bCs/>
          <w:sz w:val="24"/>
          <w:szCs w:val="24"/>
          <w:lang w:val="fr-FR"/>
        </w:rPr>
        <w:t xml:space="preserve"> « TASDIR+ » </w:t>
      </w:r>
    </w:p>
    <w:p w:rsidR="0043228E" w:rsidRPr="0043228E" w:rsidRDefault="0043228E" w:rsidP="007B17C5">
      <w:pPr>
        <w:widowControl/>
        <w:jc w:val="center"/>
        <w:rPr>
          <w:rFonts w:ascii="Times New Roman" w:hAnsi="Times New Roman" w:cs="Times New Roman"/>
          <w:b/>
          <w:bCs/>
          <w:sz w:val="24"/>
          <w:szCs w:val="24"/>
          <w:lang w:val="fr-FR"/>
        </w:rPr>
      </w:pPr>
    </w:p>
    <w:p w:rsidR="007B17C5" w:rsidRPr="0043228E" w:rsidRDefault="007B17C5" w:rsidP="007B17C5">
      <w:pPr>
        <w:widowControl/>
        <w:jc w:val="center"/>
        <w:rPr>
          <w:rFonts w:ascii="Times New Roman" w:hAnsi="Times New Roman" w:cs="Times New Roman"/>
          <w:b/>
          <w:bCs/>
          <w:sz w:val="24"/>
          <w:szCs w:val="24"/>
          <w:lang w:val="fr-FR"/>
        </w:rPr>
      </w:pPr>
      <w:r w:rsidRPr="0043228E">
        <w:rPr>
          <w:rFonts w:ascii="Times New Roman" w:hAnsi="Times New Roman" w:cs="Times New Roman"/>
          <w:b/>
          <w:bCs/>
          <w:sz w:val="24"/>
          <w:szCs w:val="24"/>
          <w:lang w:val="fr-FR"/>
        </w:rPr>
        <w:t xml:space="preserve">Sélection et emploi d’un(e) assistant(e) en finance et comptabilité </w:t>
      </w:r>
    </w:p>
    <w:p w:rsidR="007B17C5" w:rsidRPr="0043228E" w:rsidRDefault="007B17C5" w:rsidP="007B17C5">
      <w:pPr>
        <w:widowControl/>
        <w:jc w:val="center"/>
        <w:rPr>
          <w:rFonts w:ascii="Times New Roman" w:eastAsia="Times New Roman" w:hAnsi="Times New Roman" w:cs="Times New Roman"/>
          <w:b/>
          <w:sz w:val="24"/>
          <w:szCs w:val="24"/>
          <w:lang w:val="fr-FR" w:eastAsia="fr-FR"/>
        </w:rPr>
      </w:pPr>
      <w:r w:rsidRPr="0043228E">
        <w:rPr>
          <w:rFonts w:ascii="Times New Roman" w:hAnsi="Times New Roman" w:cs="Times New Roman"/>
          <w:b/>
          <w:bCs/>
          <w:sz w:val="24"/>
          <w:szCs w:val="24"/>
          <w:lang w:val="fr-FR"/>
        </w:rPr>
        <w:t xml:space="preserve">Termes de Référence </w:t>
      </w:r>
    </w:p>
    <w:p w:rsidR="007B17C5" w:rsidRPr="0043228E" w:rsidRDefault="007B17C5" w:rsidP="007B17C5">
      <w:pPr>
        <w:widowControl/>
        <w:numPr>
          <w:ilvl w:val="0"/>
          <w:numId w:val="3"/>
        </w:numPr>
        <w:tabs>
          <w:tab w:val="left" w:pos="284"/>
        </w:tabs>
        <w:spacing w:before="120"/>
        <w:ind w:left="0" w:firstLine="0"/>
        <w:rPr>
          <w:rFonts w:ascii="Times New Roman" w:hAnsi="Times New Roman" w:cs="Times New Roman"/>
          <w:b/>
          <w:sz w:val="24"/>
          <w:szCs w:val="24"/>
          <w:u w:val="single"/>
          <w:lang w:val="fr-FR"/>
        </w:rPr>
      </w:pPr>
      <w:r w:rsidRPr="0043228E">
        <w:rPr>
          <w:rFonts w:ascii="Times New Roman" w:hAnsi="Times New Roman" w:cs="Times New Roman"/>
          <w:b/>
          <w:sz w:val="24"/>
          <w:szCs w:val="24"/>
          <w:u w:val="single"/>
          <w:lang w:val="fr-FR"/>
        </w:rPr>
        <w:t>Contexte de la mission</w:t>
      </w:r>
    </w:p>
    <w:p w:rsidR="007B17C5" w:rsidRPr="0043228E" w:rsidRDefault="007B17C5" w:rsidP="007B17C5">
      <w:pPr>
        <w:widowControl/>
        <w:tabs>
          <w:tab w:val="left" w:pos="284"/>
        </w:tabs>
        <w:spacing w:before="120"/>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 xml:space="preserve">Le Gouvernement de la République Tunisienne et la Banque Internationale pour la Reconstruction et le développement (BIRD) ont procédé en date du 19 Août 2014 à la signature d’un accord de prêt relatif au troisième Projet de Développement des Exportations (PDE3) qui a pour objectif de contribuer à l’accroissement et la diversification des exportations par les entreprises soutenues. </w:t>
      </w:r>
    </w:p>
    <w:p w:rsidR="007B17C5" w:rsidRPr="0043228E" w:rsidRDefault="007B17C5" w:rsidP="007B17C5">
      <w:pPr>
        <w:widowControl/>
        <w:tabs>
          <w:tab w:val="left" w:pos="284"/>
        </w:tabs>
        <w:spacing w:before="120"/>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 xml:space="preserve">Dans ce cadre, il a été confié au Centre de Promotion des Exportations (CEPEX) la gestion du « Fonds d’Appui à la Compétitivité et au Développement des Exportations (FACDE) » (communément appelé TASDIR+) qui apporte son appui aux entreprises ciblées par une gamme diversifiée de prestations de services financiers et non financiers. </w:t>
      </w:r>
    </w:p>
    <w:p w:rsidR="007B17C5" w:rsidRPr="0043228E" w:rsidRDefault="007B17C5" w:rsidP="007B17C5">
      <w:pPr>
        <w:widowControl/>
        <w:tabs>
          <w:tab w:val="left" w:pos="284"/>
        </w:tabs>
        <w:spacing w:before="120"/>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L’administration de ce Fonds est assurée par une unité de gestion de projet (UGP) ayant à sa tête un directeur coordinateur qui est assisté par une équipe d’expert</w:t>
      </w:r>
      <w:r w:rsidRPr="0043228E">
        <w:rPr>
          <w:rFonts w:ascii="Times New Roman" w:hAnsi="Times New Roman" w:cs="Times New Roman"/>
          <w:sz w:val="24"/>
          <w:szCs w:val="24"/>
          <w:lang w:val="fr-FR"/>
        </w:rPr>
        <w:t>(e)</w:t>
      </w:r>
      <w:r w:rsidRPr="0043228E">
        <w:rPr>
          <w:rFonts w:ascii="Times New Roman" w:hAnsi="Times New Roman" w:cs="Times New Roman"/>
          <w:sz w:val="24"/>
          <w:szCs w:val="24"/>
          <w:lang w:val="fr-FR"/>
        </w:rPr>
        <w:t>s et d’assistant</w:t>
      </w:r>
      <w:r w:rsidRPr="0043228E">
        <w:rPr>
          <w:rFonts w:ascii="Times New Roman" w:hAnsi="Times New Roman" w:cs="Times New Roman"/>
          <w:sz w:val="24"/>
          <w:szCs w:val="24"/>
          <w:lang w:val="fr-FR"/>
        </w:rPr>
        <w:t>(e)</w:t>
      </w:r>
      <w:r w:rsidRPr="0043228E">
        <w:rPr>
          <w:rFonts w:ascii="Times New Roman" w:hAnsi="Times New Roman" w:cs="Times New Roman"/>
          <w:sz w:val="24"/>
          <w:szCs w:val="24"/>
          <w:lang w:val="fr-FR"/>
        </w:rPr>
        <w:t xml:space="preserve">s. </w:t>
      </w:r>
    </w:p>
    <w:p w:rsidR="007B17C5" w:rsidRPr="0043228E" w:rsidRDefault="007B17C5" w:rsidP="007B17C5">
      <w:pPr>
        <w:widowControl/>
        <w:tabs>
          <w:tab w:val="left" w:pos="284"/>
        </w:tabs>
        <w:spacing w:before="120"/>
        <w:jc w:val="both"/>
        <w:rPr>
          <w:rFonts w:ascii="Times New Roman" w:eastAsia="Times New Roman" w:hAnsi="Times New Roman" w:cs="Times New Roman"/>
          <w:sz w:val="24"/>
          <w:szCs w:val="24"/>
          <w:lang w:val="fr-FR" w:eastAsia="fr-FR"/>
        </w:rPr>
      </w:pPr>
      <w:r w:rsidRPr="0043228E">
        <w:rPr>
          <w:rFonts w:ascii="Times New Roman" w:hAnsi="Times New Roman" w:cs="Times New Roman"/>
          <w:sz w:val="24"/>
          <w:szCs w:val="24"/>
          <w:lang w:val="fr-FR"/>
        </w:rPr>
        <w:t xml:space="preserve">Dans ce cadre, </w:t>
      </w:r>
      <w:proofErr w:type="spellStart"/>
      <w:r w:rsidRPr="0043228E">
        <w:rPr>
          <w:rFonts w:ascii="Times New Roman" w:hAnsi="Times New Roman" w:cs="Times New Roman"/>
          <w:sz w:val="24"/>
          <w:szCs w:val="24"/>
          <w:lang w:val="fr-FR"/>
        </w:rPr>
        <w:t>Tasdir</w:t>
      </w:r>
      <w:proofErr w:type="spellEnd"/>
      <w:r w:rsidRPr="0043228E">
        <w:rPr>
          <w:rFonts w:ascii="Times New Roman" w:hAnsi="Times New Roman" w:cs="Times New Roman"/>
          <w:sz w:val="24"/>
          <w:szCs w:val="24"/>
          <w:lang w:val="fr-FR"/>
        </w:rPr>
        <w:t>+</w:t>
      </w:r>
      <w:r w:rsidRPr="0043228E">
        <w:rPr>
          <w:rFonts w:ascii="Times New Roman" w:hAnsi="Times New Roman" w:cs="Times New Roman"/>
          <w:sz w:val="24"/>
          <w:szCs w:val="24"/>
          <w:lang w:val="fr-FR"/>
        </w:rPr>
        <w:t xml:space="preserve"> recrute </w:t>
      </w:r>
      <w:r w:rsidRPr="0043228E">
        <w:rPr>
          <w:rFonts w:ascii="Times New Roman" w:hAnsi="Times New Roman" w:cs="Times New Roman"/>
          <w:sz w:val="24"/>
          <w:szCs w:val="24"/>
          <w:lang w:val="fr-FR"/>
        </w:rPr>
        <w:t>un(e)</w:t>
      </w:r>
      <w:r w:rsidRPr="0043228E">
        <w:rPr>
          <w:rFonts w:ascii="Times New Roman" w:hAnsi="Times New Roman" w:cs="Times New Roman"/>
          <w:sz w:val="24"/>
          <w:szCs w:val="24"/>
          <w:lang w:val="fr-FR"/>
        </w:rPr>
        <w:t xml:space="preserve"> assistant(e)s pour </w:t>
      </w:r>
      <w:r w:rsidRPr="0043228E">
        <w:rPr>
          <w:rFonts w:ascii="Times New Roman" w:hAnsi="Times New Roman" w:cs="Times New Roman"/>
          <w:sz w:val="24"/>
          <w:szCs w:val="24"/>
          <w:lang w:val="fr-FR"/>
        </w:rPr>
        <w:t>renforcer la gestion financière et comptable du Programme</w:t>
      </w:r>
      <w:r w:rsidRPr="0043228E">
        <w:rPr>
          <w:rFonts w:ascii="Times New Roman" w:hAnsi="Times New Roman" w:cs="Times New Roman"/>
          <w:sz w:val="24"/>
          <w:szCs w:val="24"/>
          <w:lang w:val="fr-FR"/>
        </w:rPr>
        <w:t>.</w:t>
      </w:r>
    </w:p>
    <w:p w:rsidR="007B17C5" w:rsidRPr="0043228E" w:rsidRDefault="007B17C5" w:rsidP="007B17C5">
      <w:pPr>
        <w:widowControl/>
        <w:numPr>
          <w:ilvl w:val="0"/>
          <w:numId w:val="3"/>
        </w:numPr>
        <w:tabs>
          <w:tab w:val="left" w:pos="284"/>
        </w:tabs>
        <w:spacing w:before="120"/>
        <w:ind w:left="0" w:firstLine="0"/>
        <w:rPr>
          <w:rFonts w:ascii="Times New Roman" w:hAnsi="Times New Roman" w:cs="Times New Roman"/>
          <w:b/>
          <w:sz w:val="24"/>
          <w:szCs w:val="24"/>
          <w:u w:val="single"/>
          <w:lang w:val="fr-FR"/>
        </w:rPr>
      </w:pPr>
      <w:r w:rsidRPr="0043228E">
        <w:rPr>
          <w:rFonts w:ascii="Times New Roman" w:hAnsi="Times New Roman" w:cs="Times New Roman"/>
          <w:b/>
          <w:sz w:val="24"/>
          <w:szCs w:val="24"/>
          <w:u w:val="single"/>
          <w:lang w:val="fr-FR"/>
        </w:rPr>
        <w:t>Objectif du projet</w:t>
      </w:r>
    </w:p>
    <w:p w:rsidR="007B17C5" w:rsidRPr="0043228E" w:rsidRDefault="007B17C5" w:rsidP="007B17C5">
      <w:pPr>
        <w:widowControl/>
        <w:tabs>
          <w:tab w:val="left" w:pos="284"/>
        </w:tabs>
        <w:spacing w:before="120"/>
        <w:jc w:val="both"/>
        <w:rPr>
          <w:rFonts w:ascii="Times New Roman" w:eastAsia="Times New Roman" w:hAnsi="Times New Roman" w:cs="Times New Roman"/>
          <w:sz w:val="24"/>
          <w:szCs w:val="24"/>
          <w:lang w:val="fr-FR" w:eastAsia="fr-FR"/>
        </w:rPr>
      </w:pPr>
      <w:r w:rsidRPr="0043228E">
        <w:rPr>
          <w:rFonts w:ascii="Times New Roman" w:hAnsi="Times New Roman" w:cs="Times New Roman"/>
          <w:sz w:val="24"/>
          <w:szCs w:val="24"/>
          <w:lang w:val="fr-FR"/>
        </w:rPr>
        <w:t>L’objectif du FACDE est de contribuer à l’accroissement et la diversification des exportations tunisiennes moyennant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 xml:space="preserve"> Le renforcement des capacités d’accès des entreprises tunisiennes aux marchés extérieurs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Le soutien des associations professionnelles et les groupements d’entreprises dans leurs démarches à l’international, et dans leurs efforts à aider les entreprises tunisiennes à exporter des produits à plus haute valeur ajoutée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 xml:space="preserve"> La diversification des exportations pour inclure de nouveaux biens et services à haute valeur ajoutée et augmenter le contenu technologique dans les exportations totales du pays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La diversification des marchés en focalisant sur les marchés non traditionnels offrant un fort potentiel à l’exportation et des conditions d’accès favorables tels que le Maghreb, l’Afrique sub-saharienne, l’Europe de l’est et l’Amérique du nord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La contribution aux objectifs économiques du gouvernement (création de valeur ajoutée, création d’emplois qualifiés, développement des régions, etc.).</w:t>
      </w:r>
    </w:p>
    <w:p w:rsidR="007B17C5" w:rsidRPr="0043228E" w:rsidRDefault="007B17C5" w:rsidP="007B17C5">
      <w:pPr>
        <w:widowControl/>
        <w:numPr>
          <w:ilvl w:val="0"/>
          <w:numId w:val="3"/>
        </w:numPr>
        <w:tabs>
          <w:tab w:val="left" w:pos="284"/>
        </w:tabs>
        <w:spacing w:before="120"/>
        <w:ind w:left="0" w:firstLine="0"/>
        <w:rPr>
          <w:rFonts w:ascii="Times New Roman" w:hAnsi="Times New Roman" w:cs="Times New Roman"/>
          <w:b/>
          <w:sz w:val="24"/>
          <w:szCs w:val="24"/>
          <w:u w:val="single"/>
          <w:lang w:val="fr-FR"/>
        </w:rPr>
      </w:pPr>
      <w:r w:rsidRPr="0043228E">
        <w:rPr>
          <w:rFonts w:ascii="Times New Roman" w:hAnsi="Times New Roman" w:cs="Times New Roman"/>
          <w:b/>
          <w:sz w:val="24"/>
          <w:szCs w:val="24"/>
          <w:u w:val="single"/>
          <w:lang w:val="fr-FR"/>
        </w:rPr>
        <w:t>Etendue et secteurs couverts par le FACDE</w:t>
      </w:r>
    </w:p>
    <w:p w:rsidR="007B17C5" w:rsidRPr="0043228E" w:rsidRDefault="007B17C5" w:rsidP="007B17C5">
      <w:pPr>
        <w:widowControl/>
        <w:spacing w:before="120"/>
        <w:jc w:val="both"/>
        <w:rPr>
          <w:rFonts w:ascii="Times New Roman" w:eastAsia="Times New Roman" w:hAnsi="Times New Roman" w:cs="Times New Roman"/>
          <w:sz w:val="24"/>
          <w:szCs w:val="24"/>
          <w:lang w:val="fr-FR" w:eastAsia="fr-FR"/>
        </w:rPr>
      </w:pPr>
      <w:r w:rsidRPr="0043228E">
        <w:rPr>
          <w:rFonts w:ascii="Times New Roman" w:hAnsi="Times New Roman" w:cs="Times New Roman"/>
          <w:sz w:val="24"/>
          <w:szCs w:val="24"/>
          <w:lang w:val="fr-FR"/>
        </w:rPr>
        <w:t>Le projet focalisera sur les activités à haute valeur ajoutée dans plusieurs secteurs dont notamment (secteurs à titre indicatif) : les industries électroniques, automobiles, aéronautiques, pharmaceutiques ; les services de santé, d’éducation, d’offshoring, et IT ; mais aussi les créneaux à haute valeur ajoutée dans le tourisme (tel que le tourisme médical) et l’habillement.</w:t>
      </w:r>
    </w:p>
    <w:p w:rsidR="007B17C5" w:rsidRPr="0043228E" w:rsidRDefault="007B17C5" w:rsidP="007B17C5">
      <w:pPr>
        <w:widowControl/>
        <w:numPr>
          <w:ilvl w:val="0"/>
          <w:numId w:val="3"/>
        </w:numPr>
        <w:tabs>
          <w:tab w:val="left" w:pos="284"/>
        </w:tabs>
        <w:spacing w:before="120"/>
        <w:ind w:left="0" w:firstLine="0"/>
        <w:rPr>
          <w:rFonts w:ascii="Times New Roman" w:hAnsi="Times New Roman" w:cs="Times New Roman"/>
          <w:b/>
          <w:sz w:val="24"/>
          <w:szCs w:val="24"/>
          <w:u w:val="single"/>
          <w:lang w:val="fr-FR"/>
        </w:rPr>
      </w:pPr>
      <w:r w:rsidRPr="0043228E">
        <w:rPr>
          <w:rFonts w:ascii="Times New Roman" w:hAnsi="Times New Roman" w:cs="Times New Roman"/>
          <w:b/>
          <w:sz w:val="24"/>
          <w:szCs w:val="24"/>
          <w:u w:val="single"/>
          <w:lang w:val="fr-FR"/>
        </w:rPr>
        <w:t>Les activités couvertes par le Fonds</w:t>
      </w:r>
    </w:p>
    <w:p w:rsidR="007B17C5" w:rsidRPr="0043228E" w:rsidRDefault="007B17C5" w:rsidP="007B17C5">
      <w:pPr>
        <w:widowControl/>
        <w:spacing w:before="120"/>
        <w:jc w:val="both"/>
        <w:rPr>
          <w:rFonts w:ascii="Times New Roman" w:eastAsia="Times New Roman" w:hAnsi="Times New Roman" w:cs="Times New Roman"/>
          <w:sz w:val="24"/>
          <w:szCs w:val="24"/>
          <w:lang w:val="fr-FR" w:eastAsia="fr-FR"/>
        </w:rPr>
      </w:pPr>
      <w:r w:rsidRPr="0043228E">
        <w:rPr>
          <w:rFonts w:ascii="Times New Roman" w:hAnsi="Times New Roman" w:cs="Times New Roman"/>
          <w:sz w:val="24"/>
          <w:szCs w:val="24"/>
          <w:lang w:val="fr-FR"/>
        </w:rPr>
        <w:lastRenderedPageBreak/>
        <w:t>Le FACDE couvre les différentes phases de développement à l’international de l’entreprise tout en mettant l’accent sur les points suivants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La planification du développement des exportations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Les accréditations spéciales exigées par les marchés cibles pour l’exportation des biens et de services à haut contenu technologique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L’adaptation des produits et services aux spécificités des marchés cibles (certification, développement et marketing de nouveaux produits, …)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Le développement de programmes promotionnels (outils de promotion, participation à des manifestations promotionnelles, campagnes de communication, …)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L’organisation de missions d’études et de prospection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Le développement de partenariat d’affaires (invitation d’acheteurs, rencontres B to B, …)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L’implantation commerciale sur les marchés étrangers (filiales, succursales,) ;</w:t>
      </w:r>
    </w:p>
    <w:p w:rsidR="007B17C5" w:rsidRPr="0043228E" w:rsidRDefault="007B17C5" w:rsidP="007B17C5">
      <w:pPr>
        <w:widowControl/>
        <w:numPr>
          <w:ilvl w:val="0"/>
          <w:numId w:val="2"/>
        </w:numPr>
        <w:tabs>
          <w:tab w:val="left" w:pos="284"/>
        </w:tabs>
        <w:spacing w:before="120"/>
        <w:ind w:left="284" w:hanging="284"/>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L’emploi et le renforcement des ressources humaines en particulier les nouveaux diplômés en les impliquant dans le processus d’exportation.</w:t>
      </w:r>
    </w:p>
    <w:p w:rsidR="007B17C5" w:rsidRPr="0043228E" w:rsidRDefault="007B17C5" w:rsidP="007B17C5">
      <w:pPr>
        <w:widowControl/>
        <w:numPr>
          <w:ilvl w:val="0"/>
          <w:numId w:val="3"/>
        </w:numPr>
        <w:tabs>
          <w:tab w:val="left" w:pos="284"/>
        </w:tabs>
        <w:spacing w:before="120"/>
        <w:ind w:left="0" w:firstLine="0"/>
        <w:rPr>
          <w:rFonts w:ascii="Times New Roman" w:hAnsi="Times New Roman" w:cs="Times New Roman"/>
          <w:b/>
          <w:sz w:val="24"/>
          <w:szCs w:val="24"/>
          <w:u w:val="single"/>
          <w:lang w:val="fr-FR"/>
        </w:rPr>
      </w:pPr>
      <w:r w:rsidRPr="0043228E">
        <w:rPr>
          <w:rFonts w:ascii="Times New Roman" w:hAnsi="Times New Roman" w:cs="Times New Roman"/>
          <w:b/>
          <w:sz w:val="24"/>
          <w:szCs w:val="24"/>
          <w:u w:val="single"/>
          <w:lang w:val="fr-FR"/>
        </w:rPr>
        <w:t>Durée du projet</w:t>
      </w:r>
    </w:p>
    <w:p w:rsidR="007B17C5" w:rsidRPr="0043228E" w:rsidRDefault="007B17C5" w:rsidP="007B17C5">
      <w:pPr>
        <w:widowControl/>
        <w:tabs>
          <w:tab w:val="left" w:pos="284"/>
        </w:tabs>
        <w:spacing w:before="120"/>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Le projet couvrira la période 2015- 2020.</w:t>
      </w:r>
    </w:p>
    <w:p w:rsidR="007B17C5" w:rsidRPr="0043228E" w:rsidRDefault="007B17C5" w:rsidP="007B17C5">
      <w:pPr>
        <w:widowControl/>
        <w:numPr>
          <w:ilvl w:val="0"/>
          <w:numId w:val="3"/>
        </w:numPr>
        <w:tabs>
          <w:tab w:val="left" w:pos="284"/>
        </w:tabs>
        <w:spacing w:before="120"/>
        <w:ind w:left="0" w:firstLine="0"/>
        <w:rPr>
          <w:rFonts w:ascii="Times New Roman" w:hAnsi="Times New Roman" w:cs="Times New Roman"/>
          <w:b/>
          <w:sz w:val="24"/>
          <w:szCs w:val="24"/>
          <w:u w:val="single"/>
          <w:lang w:val="fr-FR"/>
        </w:rPr>
      </w:pPr>
      <w:bookmarkStart w:id="0" w:name="_Hlk494803352"/>
      <w:r w:rsidRPr="0043228E">
        <w:rPr>
          <w:rFonts w:ascii="Times New Roman" w:hAnsi="Times New Roman" w:cs="Times New Roman"/>
          <w:b/>
          <w:sz w:val="24"/>
          <w:szCs w:val="24"/>
          <w:u w:val="single"/>
          <w:lang w:val="fr-FR"/>
        </w:rPr>
        <w:t>Durée de la mission</w:t>
      </w:r>
    </w:p>
    <w:p w:rsidR="007B17C5" w:rsidRPr="0043228E" w:rsidRDefault="007B17C5" w:rsidP="007B17C5">
      <w:pPr>
        <w:widowControl/>
        <w:tabs>
          <w:tab w:val="left" w:pos="284"/>
        </w:tabs>
        <w:spacing w:before="120"/>
        <w:jc w:val="both"/>
        <w:rPr>
          <w:rFonts w:ascii="Times New Roman" w:eastAsia="Times New Roman" w:hAnsi="Times New Roman" w:cs="Times New Roman"/>
          <w:sz w:val="24"/>
          <w:szCs w:val="24"/>
          <w:lang w:val="fr-FR" w:eastAsia="fr-FR"/>
        </w:rPr>
      </w:pPr>
      <w:r w:rsidRPr="0043228E">
        <w:rPr>
          <w:rFonts w:ascii="Times New Roman" w:hAnsi="Times New Roman" w:cs="Times New Roman"/>
          <w:sz w:val="24"/>
          <w:szCs w:val="24"/>
          <w:lang w:val="fr-FR"/>
        </w:rPr>
        <w:t xml:space="preserve"> La durée du contrat est de </w:t>
      </w:r>
      <w:r w:rsidRPr="0043228E">
        <w:rPr>
          <w:rFonts w:ascii="Times New Roman" w:hAnsi="Times New Roman" w:cs="Times New Roman"/>
          <w:sz w:val="24"/>
          <w:szCs w:val="24"/>
          <w:lang w:val="fr-FR"/>
        </w:rPr>
        <w:t>12</w:t>
      </w:r>
      <w:r w:rsidRPr="0043228E">
        <w:rPr>
          <w:rFonts w:ascii="Times New Roman" w:hAnsi="Times New Roman" w:cs="Times New Roman"/>
          <w:sz w:val="24"/>
          <w:szCs w:val="24"/>
          <w:lang w:val="fr-FR"/>
        </w:rPr>
        <w:t xml:space="preserve"> mois allant du </w:t>
      </w:r>
      <w:r w:rsidRPr="0043228E">
        <w:rPr>
          <w:rFonts w:ascii="Times New Roman" w:hAnsi="Times New Roman" w:cs="Times New Roman"/>
          <w:sz w:val="24"/>
          <w:szCs w:val="24"/>
          <w:lang w:val="fr-FR"/>
        </w:rPr>
        <w:t>2</w:t>
      </w:r>
      <w:r w:rsidRPr="0043228E">
        <w:rPr>
          <w:rFonts w:ascii="Times New Roman" w:hAnsi="Times New Roman" w:cs="Times New Roman"/>
          <w:sz w:val="24"/>
          <w:szCs w:val="24"/>
          <w:lang w:val="fr-FR"/>
        </w:rPr>
        <w:t xml:space="preserve"> </w:t>
      </w:r>
      <w:r w:rsidRPr="0043228E">
        <w:rPr>
          <w:rFonts w:ascii="Times New Roman" w:hAnsi="Times New Roman" w:cs="Times New Roman"/>
          <w:sz w:val="24"/>
          <w:szCs w:val="24"/>
          <w:lang w:val="fr-FR"/>
        </w:rPr>
        <w:t>Janvier</w:t>
      </w:r>
      <w:r w:rsidRPr="0043228E">
        <w:rPr>
          <w:rFonts w:ascii="Times New Roman" w:hAnsi="Times New Roman" w:cs="Times New Roman"/>
          <w:sz w:val="24"/>
          <w:szCs w:val="24"/>
          <w:lang w:val="fr-FR"/>
        </w:rPr>
        <w:t xml:space="preserve"> </w:t>
      </w:r>
      <w:r w:rsidRPr="0043228E">
        <w:rPr>
          <w:rFonts w:ascii="Times New Roman" w:hAnsi="Times New Roman" w:cs="Times New Roman"/>
          <w:sz w:val="24"/>
          <w:szCs w:val="24"/>
          <w:lang w:val="fr-FR"/>
        </w:rPr>
        <w:t>2020</w:t>
      </w:r>
      <w:r w:rsidRPr="0043228E">
        <w:rPr>
          <w:rFonts w:ascii="Times New Roman" w:hAnsi="Times New Roman" w:cs="Times New Roman"/>
          <w:sz w:val="24"/>
          <w:szCs w:val="24"/>
          <w:lang w:val="fr-FR"/>
        </w:rPr>
        <w:t xml:space="preserve"> au 31 Décembre 2020.  </w:t>
      </w:r>
    </w:p>
    <w:bookmarkEnd w:id="0"/>
    <w:p w:rsidR="007B17C5" w:rsidRPr="0043228E" w:rsidRDefault="007B17C5" w:rsidP="007B17C5">
      <w:pPr>
        <w:widowControl/>
        <w:numPr>
          <w:ilvl w:val="0"/>
          <w:numId w:val="3"/>
        </w:numPr>
        <w:tabs>
          <w:tab w:val="left" w:pos="284"/>
        </w:tabs>
        <w:spacing w:before="120"/>
        <w:ind w:left="0" w:firstLine="0"/>
        <w:rPr>
          <w:rFonts w:ascii="Times New Roman" w:hAnsi="Times New Roman" w:cs="Times New Roman"/>
          <w:b/>
          <w:sz w:val="24"/>
          <w:szCs w:val="24"/>
          <w:u w:val="single"/>
          <w:lang w:val="fr-FR"/>
        </w:rPr>
      </w:pPr>
      <w:r w:rsidRPr="0043228E">
        <w:rPr>
          <w:rFonts w:ascii="Times New Roman" w:hAnsi="Times New Roman" w:cs="Times New Roman"/>
          <w:b/>
          <w:sz w:val="24"/>
          <w:szCs w:val="24"/>
          <w:u w:val="single"/>
          <w:lang w:val="fr-FR"/>
        </w:rPr>
        <w:t xml:space="preserve">Responsabilités </w:t>
      </w:r>
    </w:p>
    <w:p w:rsidR="007B17C5" w:rsidRPr="0043228E" w:rsidRDefault="007B17C5" w:rsidP="007B17C5">
      <w:pPr>
        <w:widowControl/>
        <w:spacing w:before="120"/>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 xml:space="preserve">Le/la candidat(e) retenu(e) travaillera au sein de l’Unité de Gestion de Projet (UGP) à plein temps suivant l’horaire administratif prévu et publié sur le Site Web du Fonds TASDIR+. </w:t>
      </w:r>
    </w:p>
    <w:p w:rsidR="007B17C5" w:rsidRPr="0043228E" w:rsidRDefault="007B17C5" w:rsidP="007B17C5">
      <w:pPr>
        <w:widowControl/>
        <w:spacing w:before="120"/>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 xml:space="preserve">Sous la supervision du directeur coordinateur du projet et </w:t>
      </w:r>
      <w:r w:rsidR="00182DA4">
        <w:rPr>
          <w:rFonts w:ascii="Times New Roman" w:hAnsi="Times New Roman" w:cs="Times New Roman"/>
          <w:sz w:val="24"/>
          <w:szCs w:val="24"/>
          <w:lang w:val="fr-FR"/>
        </w:rPr>
        <w:t>du</w:t>
      </w:r>
      <w:r w:rsidRPr="0043228E">
        <w:rPr>
          <w:rFonts w:ascii="Times New Roman" w:hAnsi="Times New Roman" w:cs="Times New Roman"/>
          <w:sz w:val="24"/>
          <w:szCs w:val="24"/>
          <w:lang w:val="fr-FR"/>
        </w:rPr>
        <w:t xml:space="preserve"> responsable financier et comptable</w:t>
      </w:r>
      <w:r w:rsidRPr="0043228E">
        <w:rPr>
          <w:rFonts w:ascii="Times New Roman" w:hAnsi="Times New Roman" w:cs="Times New Roman"/>
          <w:sz w:val="24"/>
          <w:szCs w:val="24"/>
          <w:lang w:val="fr-FR"/>
        </w:rPr>
        <w:t xml:space="preserve">, il/elle assurera les responsabilités et les </w:t>
      </w:r>
      <w:r w:rsidR="00182DA4">
        <w:rPr>
          <w:rFonts w:ascii="Times New Roman" w:hAnsi="Times New Roman" w:cs="Times New Roman"/>
          <w:sz w:val="24"/>
          <w:szCs w:val="24"/>
          <w:lang w:val="fr-FR"/>
        </w:rPr>
        <w:t>tâches</w:t>
      </w:r>
      <w:r w:rsidRPr="0043228E">
        <w:rPr>
          <w:rFonts w:ascii="Times New Roman" w:hAnsi="Times New Roman" w:cs="Times New Roman"/>
          <w:sz w:val="24"/>
          <w:szCs w:val="24"/>
          <w:lang w:val="fr-FR"/>
        </w:rPr>
        <w:t xml:space="preserve"> suivantes : </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Assurer le classement et le référencement des pièces comptables justifiant les charges, les encaissements et les décaissements</w:t>
      </w:r>
      <w:r w:rsidRPr="0043228E">
        <w:rPr>
          <w:rFonts w:ascii="Times New Roman" w:eastAsia="Times New Roman" w:hAnsi="Times New Roman" w:cs="Times New Roman"/>
          <w:sz w:val="24"/>
          <w:szCs w:val="24"/>
          <w:lang w:val="fr-FR" w:eastAsia="fr-FR"/>
        </w:rPr>
        <w:t>.</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Assurer la saisie de la comptabilité du fonds sous la supervision de l’expert sur le logiciel comptable Sage</w:t>
      </w:r>
      <w:r w:rsidRPr="0043228E">
        <w:rPr>
          <w:rFonts w:ascii="Times New Roman" w:eastAsia="Times New Roman" w:hAnsi="Times New Roman" w:cs="Times New Roman"/>
          <w:sz w:val="24"/>
          <w:szCs w:val="24"/>
          <w:lang w:val="fr-FR" w:eastAsia="fr-FR"/>
        </w:rPr>
        <w:t>.</w:t>
      </w:r>
      <w:r w:rsidRPr="0043228E">
        <w:rPr>
          <w:rFonts w:ascii="Times New Roman" w:eastAsia="Times New Roman" w:hAnsi="Times New Roman" w:cs="Times New Roman"/>
          <w:sz w:val="24"/>
          <w:szCs w:val="24"/>
          <w:lang w:val="fr-FR" w:eastAsia="fr-FR"/>
        </w:rPr>
        <w:t xml:space="preserve"> </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Etablir les états de rapprochement ba</w:t>
      </w:r>
      <w:bookmarkStart w:id="1" w:name="_GoBack"/>
      <w:bookmarkEnd w:id="1"/>
      <w:r w:rsidRPr="0043228E">
        <w:rPr>
          <w:rFonts w:ascii="Times New Roman" w:eastAsia="Times New Roman" w:hAnsi="Times New Roman" w:cs="Times New Roman"/>
          <w:sz w:val="24"/>
          <w:szCs w:val="24"/>
          <w:lang w:val="fr-FR" w:eastAsia="fr-FR"/>
        </w:rPr>
        <w:t>ncaires mensuels</w:t>
      </w:r>
      <w:r w:rsidRPr="0043228E">
        <w:rPr>
          <w:rFonts w:ascii="Times New Roman" w:eastAsia="Times New Roman" w:hAnsi="Times New Roman" w:cs="Times New Roman"/>
          <w:sz w:val="24"/>
          <w:szCs w:val="24"/>
          <w:lang w:val="fr-FR" w:eastAsia="fr-FR"/>
        </w:rPr>
        <w:t>.</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Assurer la saisie des décaissements sur le système SIADE au niveau du ministère de commerce</w:t>
      </w:r>
      <w:r w:rsidRPr="0043228E">
        <w:rPr>
          <w:rFonts w:ascii="Times New Roman" w:eastAsia="Times New Roman" w:hAnsi="Times New Roman" w:cs="Times New Roman"/>
          <w:sz w:val="24"/>
          <w:szCs w:val="24"/>
          <w:lang w:val="fr-FR" w:eastAsia="fr-FR"/>
        </w:rPr>
        <w:t>.</w:t>
      </w:r>
      <w:r w:rsidRPr="0043228E">
        <w:rPr>
          <w:rFonts w:ascii="Times New Roman" w:eastAsia="Times New Roman" w:hAnsi="Times New Roman" w:cs="Times New Roman"/>
          <w:sz w:val="24"/>
          <w:szCs w:val="24"/>
          <w:lang w:val="fr-FR" w:eastAsia="fr-FR"/>
        </w:rPr>
        <w:t xml:space="preserve"> </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 xml:space="preserve">Alimentation des données relatives à la gestion financière de </w:t>
      </w:r>
      <w:proofErr w:type="spellStart"/>
      <w:r w:rsidRPr="0043228E">
        <w:rPr>
          <w:rFonts w:ascii="Times New Roman" w:eastAsia="Times New Roman" w:hAnsi="Times New Roman" w:cs="Times New Roman"/>
          <w:sz w:val="24"/>
          <w:szCs w:val="24"/>
          <w:lang w:val="fr-FR" w:eastAsia="fr-FR"/>
        </w:rPr>
        <w:t>Tasdir</w:t>
      </w:r>
      <w:proofErr w:type="spellEnd"/>
      <w:r w:rsidRPr="0043228E">
        <w:rPr>
          <w:rFonts w:ascii="Times New Roman" w:eastAsia="Times New Roman" w:hAnsi="Times New Roman" w:cs="Times New Roman"/>
          <w:sz w:val="24"/>
          <w:szCs w:val="24"/>
          <w:lang w:val="fr-FR" w:eastAsia="fr-FR"/>
        </w:rPr>
        <w:t>+ au niveau de l’application de suivi et d’évaluation du 3ème Programme de développement des Exportations « INJEZ »</w:t>
      </w:r>
      <w:r w:rsidRPr="0043228E">
        <w:rPr>
          <w:rFonts w:ascii="Times New Roman" w:eastAsia="Times New Roman" w:hAnsi="Times New Roman" w:cs="Times New Roman"/>
          <w:sz w:val="24"/>
          <w:szCs w:val="24"/>
          <w:lang w:val="fr-FR" w:eastAsia="fr-FR"/>
        </w:rPr>
        <w:t>.</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Assurer le suivi et l’archivage des congés des consultants</w:t>
      </w:r>
      <w:r w:rsidRPr="0043228E">
        <w:rPr>
          <w:rFonts w:ascii="Times New Roman" w:eastAsia="Times New Roman" w:hAnsi="Times New Roman" w:cs="Times New Roman"/>
          <w:sz w:val="24"/>
          <w:szCs w:val="24"/>
          <w:lang w:val="fr-FR" w:eastAsia="fr-FR"/>
        </w:rPr>
        <w:t>.</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Assurer la gestion et le suivi de la caisse dépenses</w:t>
      </w:r>
      <w:r w:rsidRPr="0043228E">
        <w:rPr>
          <w:rFonts w:ascii="Times New Roman" w:eastAsia="Times New Roman" w:hAnsi="Times New Roman" w:cs="Times New Roman"/>
          <w:sz w:val="24"/>
          <w:szCs w:val="24"/>
          <w:lang w:val="fr-FR" w:eastAsia="fr-FR"/>
        </w:rPr>
        <w:t>.</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Assister aux travaux de l’inventaire physique du projet.</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Assurer le scannage des demandes de paiement et leurs imputations sur l’application de gestion du fonds avec la saisie les données nécessaires pour la clôture des dossiers</w:t>
      </w:r>
      <w:r w:rsidRPr="0043228E">
        <w:rPr>
          <w:rFonts w:ascii="Times New Roman" w:eastAsia="Times New Roman" w:hAnsi="Times New Roman" w:cs="Times New Roman"/>
          <w:sz w:val="24"/>
          <w:szCs w:val="24"/>
          <w:lang w:val="fr-FR" w:eastAsia="fr-FR"/>
        </w:rPr>
        <w:t>.</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lastRenderedPageBreak/>
        <w:t>Exécuter toute autre tâche relative à la gestion financière et comptable à la demande de l’Exper</w:t>
      </w:r>
      <w:r w:rsidRPr="0043228E">
        <w:rPr>
          <w:rFonts w:ascii="Times New Roman" w:eastAsia="Times New Roman" w:hAnsi="Times New Roman" w:cs="Times New Roman"/>
          <w:sz w:val="24"/>
          <w:szCs w:val="24"/>
          <w:lang w:val="fr-FR" w:eastAsia="fr-FR"/>
        </w:rPr>
        <w:t>t ou du Directeur Coordinateur.</w:t>
      </w:r>
    </w:p>
    <w:p w:rsidR="007B17C5" w:rsidRPr="0043228E" w:rsidRDefault="007B17C5" w:rsidP="007B17C5">
      <w:pPr>
        <w:widowControl/>
        <w:numPr>
          <w:ilvl w:val="0"/>
          <w:numId w:val="3"/>
        </w:numPr>
        <w:tabs>
          <w:tab w:val="left" w:pos="284"/>
        </w:tabs>
        <w:spacing w:before="120"/>
        <w:ind w:left="0" w:firstLine="0"/>
        <w:rPr>
          <w:rFonts w:ascii="Times New Roman" w:hAnsi="Times New Roman" w:cs="Times New Roman"/>
          <w:b/>
          <w:sz w:val="24"/>
          <w:szCs w:val="24"/>
          <w:u w:val="single"/>
          <w:lang w:val="fr-FR"/>
        </w:rPr>
      </w:pPr>
      <w:r w:rsidRPr="0043228E">
        <w:rPr>
          <w:rFonts w:ascii="Times New Roman" w:hAnsi="Times New Roman" w:cs="Times New Roman"/>
          <w:b/>
          <w:sz w:val="24"/>
          <w:szCs w:val="24"/>
          <w:u w:val="single"/>
          <w:lang w:val="fr-FR"/>
        </w:rPr>
        <w:t xml:space="preserve">Profil de l’assistant </w:t>
      </w:r>
    </w:p>
    <w:p w:rsidR="007B17C5" w:rsidRPr="0043228E" w:rsidRDefault="007B17C5" w:rsidP="007B17C5">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bookmarkStart w:id="2" w:name="_Hlk509824088"/>
      <w:r w:rsidRPr="0043228E">
        <w:rPr>
          <w:rFonts w:ascii="Times New Roman" w:eastAsia="Times New Roman" w:hAnsi="Times New Roman" w:cs="Times New Roman"/>
          <w:sz w:val="24"/>
          <w:szCs w:val="24"/>
          <w:lang w:val="fr-FR" w:eastAsia="fr-FR"/>
        </w:rPr>
        <w:t>Diplôme universitaire (Licence minimum) en comptabilité et/ou Finance</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Expérience minimum de trois ans minimums en comptabilité et finances dans des institutions ou des cabinets d’expertise comptable</w:t>
      </w:r>
    </w:p>
    <w:bookmarkEnd w:id="2"/>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Connaissance et maitrise des outils informatiques et des logiciels de gestion comptable</w:t>
      </w:r>
      <w:r w:rsidRPr="0043228E">
        <w:rPr>
          <w:rFonts w:ascii="Times New Roman" w:eastAsia="Times New Roman" w:hAnsi="Times New Roman" w:cs="Times New Roman"/>
          <w:sz w:val="24"/>
          <w:szCs w:val="24"/>
          <w:lang w:val="fr-FR" w:eastAsia="fr-FR"/>
        </w:rPr>
        <w:t xml:space="preserve"> (notamment Sage)</w:t>
      </w:r>
    </w:p>
    <w:p w:rsidR="007B17C5" w:rsidRPr="0043228E" w:rsidRDefault="007B17C5" w:rsidP="0043228E">
      <w:pPr>
        <w:widowControl/>
        <w:numPr>
          <w:ilvl w:val="0"/>
          <w:numId w:val="1"/>
        </w:numPr>
        <w:spacing w:before="120"/>
        <w:ind w:left="357" w:hanging="357"/>
        <w:jc w:val="both"/>
        <w:rPr>
          <w:rFonts w:ascii="Times New Roman" w:eastAsia="Times New Roman" w:hAnsi="Times New Roman" w:cs="Times New Roman"/>
          <w:sz w:val="24"/>
          <w:szCs w:val="24"/>
          <w:lang w:val="fr-FR" w:eastAsia="fr-FR"/>
        </w:rPr>
      </w:pPr>
      <w:r w:rsidRPr="0043228E">
        <w:rPr>
          <w:rFonts w:ascii="Times New Roman" w:eastAsia="Times New Roman" w:hAnsi="Times New Roman" w:cs="Times New Roman"/>
          <w:sz w:val="24"/>
          <w:szCs w:val="24"/>
          <w:lang w:val="fr-FR" w:eastAsia="fr-FR"/>
        </w:rPr>
        <w:t>Expérience dans un projet financé par des bailleurs de fonds souhaitée</w:t>
      </w:r>
    </w:p>
    <w:p w:rsidR="007B17C5" w:rsidRPr="0043228E" w:rsidRDefault="007B17C5" w:rsidP="007B17C5">
      <w:pPr>
        <w:widowControl/>
        <w:numPr>
          <w:ilvl w:val="0"/>
          <w:numId w:val="3"/>
        </w:numPr>
        <w:tabs>
          <w:tab w:val="left" w:pos="284"/>
        </w:tabs>
        <w:spacing w:before="120"/>
        <w:ind w:left="0" w:firstLine="0"/>
        <w:rPr>
          <w:rFonts w:ascii="Times New Roman" w:hAnsi="Times New Roman" w:cs="Times New Roman"/>
          <w:b/>
          <w:sz w:val="24"/>
          <w:szCs w:val="24"/>
          <w:u w:val="single"/>
          <w:lang w:val="fr-FR"/>
        </w:rPr>
      </w:pPr>
      <w:r w:rsidRPr="0043228E">
        <w:rPr>
          <w:rFonts w:ascii="Times New Roman" w:hAnsi="Times New Roman" w:cs="Times New Roman"/>
          <w:b/>
          <w:sz w:val="24"/>
          <w:szCs w:val="24"/>
          <w:u w:val="single"/>
          <w:lang w:val="fr-FR"/>
        </w:rPr>
        <w:t xml:space="preserve">Evaluation de l’assistant </w:t>
      </w:r>
    </w:p>
    <w:p w:rsidR="007B17C5" w:rsidRPr="0043228E" w:rsidRDefault="007B17C5" w:rsidP="007B17C5">
      <w:pPr>
        <w:widowControl/>
        <w:spacing w:before="120"/>
        <w:jc w:val="both"/>
        <w:rPr>
          <w:rFonts w:ascii="Times New Roman" w:hAnsi="Times New Roman" w:cs="Times New Roman"/>
          <w:sz w:val="24"/>
          <w:szCs w:val="24"/>
          <w:lang w:val="fr-FR"/>
        </w:rPr>
      </w:pPr>
      <w:r w:rsidRPr="0043228E">
        <w:rPr>
          <w:rFonts w:ascii="Times New Roman" w:hAnsi="Times New Roman" w:cs="Times New Roman"/>
          <w:sz w:val="24"/>
          <w:szCs w:val="24"/>
          <w:lang w:val="fr-FR"/>
        </w:rPr>
        <w:t xml:space="preserve">Le/la candidat(e) retenu(e) sera évalué(e) chaque trimestre par le directeur coordinateur. L’évaluation sera basée sur les critères renseignés dans une fiche d’évaluation.  </w:t>
      </w:r>
    </w:p>
    <w:p w:rsidR="007B17C5" w:rsidRPr="0043228E" w:rsidRDefault="007B17C5" w:rsidP="007B17C5">
      <w:pPr>
        <w:pStyle w:val="Paragraphedeliste"/>
        <w:widowControl/>
        <w:numPr>
          <w:ilvl w:val="0"/>
          <w:numId w:val="3"/>
        </w:numPr>
        <w:tabs>
          <w:tab w:val="left" w:pos="284"/>
        </w:tabs>
        <w:spacing w:before="120"/>
        <w:rPr>
          <w:rFonts w:ascii="Times New Roman" w:hAnsi="Times New Roman" w:cs="Times New Roman"/>
          <w:b/>
          <w:sz w:val="24"/>
          <w:szCs w:val="24"/>
          <w:u w:val="single"/>
          <w:lang w:val="fr-FR"/>
        </w:rPr>
      </w:pPr>
      <w:r w:rsidRPr="0043228E">
        <w:rPr>
          <w:rFonts w:ascii="Times New Roman" w:hAnsi="Times New Roman" w:cs="Times New Roman"/>
          <w:b/>
          <w:sz w:val="24"/>
          <w:szCs w:val="24"/>
          <w:u w:val="single"/>
          <w:lang w:val="fr-FR"/>
        </w:rPr>
        <w:t xml:space="preserve">Processus de sélection </w:t>
      </w:r>
    </w:p>
    <w:p w:rsidR="0065565F" w:rsidRDefault="007B17C5" w:rsidP="007B17C5">
      <w:pPr>
        <w:rPr>
          <w:rFonts w:ascii="Times New Roman" w:hAnsi="Times New Roman" w:cs="Times New Roman"/>
          <w:sz w:val="24"/>
          <w:szCs w:val="24"/>
          <w:lang w:val="fr-FR"/>
        </w:rPr>
      </w:pPr>
      <w:r w:rsidRPr="0043228E">
        <w:rPr>
          <w:rFonts w:ascii="Times New Roman" w:hAnsi="Times New Roman" w:cs="Times New Roman"/>
          <w:sz w:val="24"/>
          <w:szCs w:val="24"/>
          <w:lang w:val="fr-FR"/>
        </w:rPr>
        <w:t>La sélection suivra la méthode de sélection des Consultants Individuels</w:t>
      </w:r>
      <w:r w:rsidRPr="0043228E">
        <w:rPr>
          <w:rFonts w:ascii="Times New Roman" w:hAnsi="Times New Roman" w:cs="Times New Roman"/>
          <w:sz w:val="24"/>
          <w:szCs w:val="24"/>
          <w:lang w:val="fr-FR"/>
        </w:rPr>
        <w:t xml:space="preserve"> </w:t>
      </w:r>
      <w:r w:rsidRPr="0043228E">
        <w:rPr>
          <w:rFonts w:ascii="Times New Roman" w:hAnsi="Times New Roman" w:cs="Times New Roman"/>
          <w:sz w:val="24"/>
          <w:szCs w:val="24"/>
          <w:lang w:val="fr-FR"/>
        </w:rPr>
        <w:t>directives de sélection et emploi de consultants par les emprunteurs de la Banque Mondiale dans le cadre des prêts de la BIRD et des crédits et dons de l’AID (version janvier 2011, révision juillet 2014).</w:t>
      </w:r>
    </w:p>
    <w:p w:rsidR="0043228E" w:rsidRPr="0043228E" w:rsidRDefault="0043228E" w:rsidP="0043228E">
      <w:pPr>
        <w:rPr>
          <w:rFonts w:ascii="Times New Roman" w:hAnsi="Times New Roman" w:cs="Times New Roman"/>
          <w:sz w:val="24"/>
          <w:szCs w:val="24"/>
          <w:lang w:val="fr-FR"/>
        </w:rPr>
      </w:pPr>
      <w:r w:rsidRPr="0043228E">
        <w:rPr>
          <w:rFonts w:ascii="Times New Roman" w:hAnsi="Times New Roman" w:cs="Times New Roman"/>
          <w:sz w:val="24"/>
          <w:szCs w:val="24"/>
          <w:lang w:val="fr-FR"/>
        </w:rPr>
        <w:t>La démarche se fera sur deux étapes :</w:t>
      </w:r>
    </w:p>
    <w:p w:rsidR="0043228E" w:rsidRPr="0043228E" w:rsidRDefault="0043228E" w:rsidP="0043228E">
      <w:pPr>
        <w:rPr>
          <w:rFonts w:ascii="Times New Roman" w:hAnsi="Times New Roman" w:cs="Times New Roman"/>
          <w:sz w:val="24"/>
          <w:szCs w:val="24"/>
          <w:lang w:val="fr-FR"/>
        </w:rPr>
      </w:pPr>
      <w:r w:rsidRPr="0043228E">
        <w:rPr>
          <w:rFonts w:ascii="Times New Roman" w:hAnsi="Times New Roman" w:cs="Times New Roman"/>
          <w:sz w:val="24"/>
          <w:szCs w:val="24"/>
          <w:lang w:val="fr-FR"/>
        </w:rPr>
        <w:t>-</w:t>
      </w:r>
      <w:r w:rsidRPr="0043228E">
        <w:rPr>
          <w:rFonts w:ascii="Times New Roman" w:hAnsi="Times New Roman" w:cs="Times New Roman"/>
          <w:sz w:val="24"/>
          <w:szCs w:val="24"/>
          <w:lang w:val="fr-FR"/>
        </w:rPr>
        <w:tab/>
        <w:t>Evaluation basé sur les CV ;</w:t>
      </w:r>
    </w:p>
    <w:p w:rsidR="0043228E" w:rsidRPr="0043228E" w:rsidRDefault="0043228E" w:rsidP="0043228E">
      <w:pPr>
        <w:rPr>
          <w:rFonts w:ascii="Times New Roman" w:hAnsi="Times New Roman" w:cs="Times New Roman"/>
          <w:sz w:val="24"/>
          <w:szCs w:val="24"/>
          <w:lang w:val="fr-FR"/>
        </w:rPr>
      </w:pPr>
      <w:r w:rsidRPr="0043228E">
        <w:rPr>
          <w:rFonts w:ascii="Times New Roman" w:hAnsi="Times New Roman" w:cs="Times New Roman"/>
          <w:sz w:val="24"/>
          <w:szCs w:val="24"/>
          <w:lang w:val="fr-FR"/>
        </w:rPr>
        <w:t>-</w:t>
      </w:r>
      <w:r w:rsidRPr="0043228E">
        <w:rPr>
          <w:rFonts w:ascii="Times New Roman" w:hAnsi="Times New Roman" w:cs="Times New Roman"/>
          <w:sz w:val="24"/>
          <w:szCs w:val="24"/>
          <w:lang w:val="fr-FR"/>
        </w:rPr>
        <w:tab/>
        <w:t>Entretien en face à face ;</w:t>
      </w:r>
    </w:p>
    <w:p w:rsidR="0043228E" w:rsidRPr="0043228E" w:rsidRDefault="0043228E" w:rsidP="0043228E">
      <w:pPr>
        <w:rPr>
          <w:rFonts w:ascii="Times New Roman" w:hAnsi="Times New Roman" w:cs="Times New Roman"/>
          <w:sz w:val="24"/>
          <w:szCs w:val="24"/>
          <w:lang w:val="fr-FR"/>
        </w:rPr>
      </w:pPr>
      <w:r w:rsidRPr="0043228E">
        <w:rPr>
          <w:rFonts w:ascii="Times New Roman" w:hAnsi="Times New Roman" w:cs="Times New Roman"/>
          <w:sz w:val="24"/>
          <w:szCs w:val="24"/>
          <w:lang w:val="fr-FR"/>
        </w:rPr>
        <w:t>Le/la candidat(e) le/la mieux qualifié(e) sera invité(e) pour la négociation financière.</w:t>
      </w:r>
    </w:p>
    <w:p w:rsidR="0043228E" w:rsidRPr="0043228E" w:rsidRDefault="0043228E" w:rsidP="0043228E">
      <w:pPr>
        <w:pStyle w:val="Paragraphedeliste"/>
        <w:widowControl/>
        <w:numPr>
          <w:ilvl w:val="0"/>
          <w:numId w:val="3"/>
        </w:numPr>
        <w:tabs>
          <w:tab w:val="left" w:pos="284"/>
        </w:tabs>
        <w:spacing w:before="120"/>
        <w:rPr>
          <w:rFonts w:ascii="Times New Roman" w:hAnsi="Times New Roman" w:cs="Times New Roman"/>
          <w:b/>
          <w:sz w:val="24"/>
          <w:szCs w:val="24"/>
          <w:u w:val="single"/>
          <w:lang w:val="fr-FR"/>
        </w:rPr>
      </w:pPr>
      <w:r w:rsidRPr="0043228E">
        <w:rPr>
          <w:rFonts w:ascii="Times New Roman" w:hAnsi="Times New Roman" w:cs="Times New Roman"/>
          <w:b/>
          <w:sz w:val="24"/>
          <w:szCs w:val="24"/>
          <w:u w:val="single"/>
          <w:lang w:val="fr-FR"/>
        </w:rPr>
        <w:t>Procédures d’application :</w:t>
      </w:r>
    </w:p>
    <w:p w:rsidR="0043228E" w:rsidRPr="0043228E" w:rsidRDefault="0043228E" w:rsidP="0043228E">
      <w:pPr>
        <w:pStyle w:val="NormalWeb"/>
        <w:spacing w:before="0" w:beforeAutospacing="0" w:after="0" w:afterAutospacing="0"/>
        <w:jc w:val="both"/>
        <w:rPr>
          <w:b/>
          <w:bCs/>
        </w:rPr>
      </w:pPr>
      <w:r w:rsidRPr="0043228E">
        <w:t xml:space="preserve">Les manifestations d’intérêt doivent être envoyées par email à l’adresse suivante </w:t>
      </w:r>
      <w:hyperlink r:id="rId5" w:history="1">
        <w:r w:rsidRPr="0043228E">
          <w:rPr>
            <w:rStyle w:val="Lienhypertexte"/>
          </w:rPr>
          <w:t>info@tasdirplus.com</w:t>
        </w:r>
      </w:hyperlink>
      <w:r w:rsidRPr="0043228E">
        <w:t xml:space="preserve"> ou déposées directement au bureau d’ordre de TASDIR+ (</w:t>
      </w:r>
      <w:r w:rsidRPr="0043228E">
        <w:rPr>
          <w:b/>
          <w:bCs/>
        </w:rPr>
        <w:t>3</w:t>
      </w:r>
      <w:r w:rsidRPr="0043228E">
        <w:rPr>
          <w:b/>
          <w:bCs/>
          <w:vertAlign w:val="superscript"/>
        </w:rPr>
        <w:t>ème</w:t>
      </w:r>
      <w:r w:rsidRPr="0043228E">
        <w:rPr>
          <w:b/>
          <w:bCs/>
        </w:rPr>
        <w:t xml:space="preserve"> étage</w:t>
      </w:r>
      <w:r w:rsidRPr="0043228E">
        <w:t xml:space="preserve"> du CEPEX sis au Centre Urbain Nord, 1080 Tunis) et ce au plus tard </w:t>
      </w:r>
      <w:r w:rsidRPr="0043228E">
        <w:rPr>
          <w:b/>
          <w:bCs/>
        </w:rPr>
        <w:t xml:space="preserve">Vendredi 20 Décembre 2019 avant 12h00. </w:t>
      </w:r>
    </w:p>
    <w:p w:rsidR="0043228E" w:rsidRPr="0043228E" w:rsidRDefault="0043228E" w:rsidP="0043228E">
      <w:pPr>
        <w:pStyle w:val="NormalWeb"/>
        <w:spacing w:before="0" w:beforeAutospacing="0" w:after="0" w:afterAutospacing="0"/>
        <w:jc w:val="both"/>
      </w:pPr>
      <w:r w:rsidRPr="0043228E">
        <w:t>L’objet de la candidature (par email ou par porteur) doit être le suivant :</w:t>
      </w:r>
    </w:p>
    <w:p w:rsidR="0043228E" w:rsidRPr="0043228E" w:rsidRDefault="0043228E" w:rsidP="0043228E">
      <w:pPr>
        <w:pStyle w:val="NormalWeb"/>
        <w:spacing w:before="0" w:beforeAutospacing="0" w:after="0" w:afterAutospacing="0"/>
        <w:jc w:val="both"/>
        <w:rPr>
          <w:b/>
          <w:bCs/>
        </w:rPr>
      </w:pPr>
      <w:r w:rsidRPr="0043228E">
        <w:rPr>
          <w:b/>
          <w:bCs/>
        </w:rPr>
        <w:t xml:space="preserve"> « Sélection et emploi d’un(e) assistant(e) en finance et comptabilité pour le programme </w:t>
      </w:r>
      <w:proofErr w:type="spellStart"/>
      <w:r w:rsidRPr="0043228E">
        <w:rPr>
          <w:b/>
          <w:bCs/>
        </w:rPr>
        <w:t>Tasdir</w:t>
      </w:r>
      <w:proofErr w:type="spellEnd"/>
      <w:r w:rsidRPr="0043228E">
        <w:rPr>
          <w:b/>
          <w:bCs/>
        </w:rPr>
        <w:t xml:space="preserve"> »</w:t>
      </w:r>
    </w:p>
    <w:p w:rsidR="0043228E" w:rsidRPr="0043228E" w:rsidRDefault="0043228E" w:rsidP="0043228E">
      <w:pPr>
        <w:pStyle w:val="NormalWeb"/>
        <w:spacing w:before="0" w:beforeAutospacing="0" w:after="0" w:afterAutospacing="0"/>
        <w:jc w:val="both"/>
      </w:pPr>
      <w:r w:rsidRPr="0043228E">
        <w:t>Les candidatures reçues après cette date ne seront pas examinées. Seul(e)s les candidat(e)s présélectionné(e)s seront convoqué(e)s à un entretien.</w:t>
      </w:r>
    </w:p>
    <w:p w:rsidR="0043228E" w:rsidRPr="0043228E" w:rsidRDefault="0043228E" w:rsidP="0043228E">
      <w:pPr>
        <w:autoSpaceDE w:val="0"/>
        <w:autoSpaceDN w:val="0"/>
        <w:adjustRightInd w:val="0"/>
        <w:ind w:right="23"/>
        <w:jc w:val="both"/>
        <w:rPr>
          <w:rFonts w:ascii="Times New Roman" w:eastAsiaTheme="minorEastAsia" w:hAnsi="Times New Roman" w:cs="Times New Roman"/>
          <w:b/>
          <w:bCs/>
          <w:sz w:val="24"/>
          <w:szCs w:val="24"/>
          <w:lang w:val="fr-FR" w:eastAsia="fr-FR"/>
        </w:rPr>
      </w:pPr>
    </w:p>
    <w:p w:rsidR="0043228E" w:rsidRPr="0043228E" w:rsidRDefault="0043228E" w:rsidP="0043228E">
      <w:pPr>
        <w:pStyle w:val="NormalWeb"/>
        <w:spacing w:before="0" w:beforeAutospacing="0" w:after="0" w:afterAutospacing="0"/>
        <w:jc w:val="both"/>
      </w:pPr>
      <w:r w:rsidRPr="0043228E">
        <w:t>Le dossier de candidature doit comporter tous les documents suivants :</w:t>
      </w:r>
    </w:p>
    <w:p w:rsidR="0043228E" w:rsidRPr="0043228E" w:rsidRDefault="0043228E" w:rsidP="0043228E">
      <w:pPr>
        <w:widowControl/>
        <w:numPr>
          <w:ilvl w:val="0"/>
          <w:numId w:val="7"/>
        </w:numPr>
        <w:ind w:left="426" w:firstLine="0"/>
        <w:jc w:val="both"/>
        <w:rPr>
          <w:rFonts w:ascii="Times New Roman" w:hAnsi="Times New Roman" w:cs="Times New Roman"/>
          <w:bCs/>
          <w:sz w:val="24"/>
          <w:szCs w:val="24"/>
          <w:lang w:val="fr-FR"/>
        </w:rPr>
      </w:pPr>
      <w:r w:rsidRPr="0043228E">
        <w:rPr>
          <w:rFonts w:ascii="Times New Roman" w:hAnsi="Times New Roman" w:cs="Times New Roman"/>
          <w:bCs/>
          <w:sz w:val="24"/>
          <w:szCs w:val="24"/>
          <w:lang w:val="fr-FR"/>
        </w:rPr>
        <w:t xml:space="preserve">Une lettre de motivation </w:t>
      </w:r>
      <w:r w:rsidRPr="0043228E">
        <w:rPr>
          <w:rFonts w:ascii="Times New Roman" w:hAnsi="Times New Roman" w:cs="Times New Roman"/>
          <w:bCs/>
          <w:sz w:val="24"/>
          <w:szCs w:val="24"/>
          <w:u w:val="single"/>
          <w:lang w:val="fr-FR"/>
        </w:rPr>
        <w:t>signée</w:t>
      </w:r>
    </w:p>
    <w:p w:rsidR="0043228E" w:rsidRPr="0043228E" w:rsidRDefault="0043228E" w:rsidP="0043228E">
      <w:pPr>
        <w:widowControl/>
        <w:numPr>
          <w:ilvl w:val="0"/>
          <w:numId w:val="7"/>
        </w:numPr>
        <w:ind w:left="426" w:firstLine="0"/>
        <w:jc w:val="both"/>
        <w:rPr>
          <w:rFonts w:ascii="Times New Roman" w:hAnsi="Times New Roman" w:cs="Times New Roman"/>
          <w:bCs/>
          <w:sz w:val="24"/>
          <w:szCs w:val="24"/>
          <w:lang w:val="fr-FR"/>
        </w:rPr>
      </w:pPr>
      <w:r w:rsidRPr="0043228E">
        <w:rPr>
          <w:rFonts w:ascii="Times New Roman" w:hAnsi="Times New Roman" w:cs="Times New Roman"/>
          <w:bCs/>
          <w:sz w:val="24"/>
          <w:szCs w:val="24"/>
          <w:lang w:val="fr-FR"/>
        </w:rPr>
        <w:t xml:space="preserve">Un curriculum vitae détaillé. </w:t>
      </w:r>
    </w:p>
    <w:p w:rsidR="0043228E" w:rsidRPr="0043228E" w:rsidRDefault="0043228E" w:rsidP="0043228E">
      <w:pPr>
        <w:widowControl/>
        <w:numPr>
          <w:ilvl w:val="0"/>
          <w:numId w:val="7"/>
        </w:numPr>
        <w:ind w:left="426" w:firstLine="0"/>
        <w:jc w:val="both"/>
        <w:rPr>
          <w:rFonts w:ascii="Times New Roman" w:hAnsi="Times New Roman" w:cs="Times New Roman"/>
          <w:bCs/>
          <w:sz w:val="24"/>
          <w:szCs w:val="24"/>
          <w:lang w:val="fr-FR"/>
        </w:rPr>
      </w:pPr>
      <w:r w:rsidRPr="0043228E">
        <w:rPr>
          <w:rFonts w:ascii="Times New Roman" w:hAnsi="Times New Roman" w:cs="Times New Roman"/>
          <w:bCs/>
          <w:sz w:val="24"/>
          <w:szCs w:val="24"/>
          <w:lang w:val="fr-FR"/>
        </w:rPr>
        <w:t>Une copie de(s) diplôme(s) universitaire(s).</w:t>
      </w:r>
    </w:p>
    <w:p w:rsidR="0043228E" w:rsidRPr="0043228E" w:rsidRDefault="0043228E" w:rsidP="0043228E">
      <w:pPr>
        <w:widowControl/>
        <w:numPr>
          <w:ilvl w:val="0"/>
          <w:numId w:val="7"/>
        </w:numPr>
        <w:ind w:left="426" w:firstLine="0"/>
        <w:jc w:val="both"/>
        <w:rPr>
          <w:rFonts w:ascii="Times New Roman" w:hAnsi="Times New Roman" w:cs="Times New Roman"/>
          <w:bCs/>
          <w:sz w:val="24"/>
          <w:szCs w:val="24"/>
          <w:lang w:val="fr-FR"/>
        </w:rPr>
      </w:pPr>
      <w:r w:rsidRPr="0043228E">
        <w:rPr>
          <w:rFonts w:ascii="Times New Roman" w:hAnsi="Times New Roman" w:cs="Times New Roman"/>
          <w:bCs/>
          <w:sz w:val="24"/>
          <w:szCs w:val="24"/>
          <w:lang w:val="fr-FR"/>
        </w:rPr>
        <w:t>Tout autre document attestant la</w:t>
      </w:r>
      <w:r w:rsidRPr="0043228E">
        <w:rPr>
          <w:rFonts w:ascii="Times New Roman" w:hAnsi="Times New Roman" w:cs="Times New Roman"/>
          <w:sz w:val="24"/>
          <w:szCs w:val="24"/>
          <w:lang w:val="fr-FR"/>
        </w:rPr>
        <w:t xml:space="preserve"> qualification et l’expérience du candidat (e).</w:t>
      </w:r>
    </w:p>
    <w:p w:rsidR="0043228E" w:rsidRPr="0043228E" w:rsidRDefault="0043228E" w:rsidP="007B17C5">
      <w:pPr>
        <w:rPr>
          <w:rFonts w:ascii="Times New Roman" w:hAnsi="Times New Roman" w:cs="Times New Roman"/>
          <w:sz w:val="24"/>
          <w:szCs w:val="24"/>
        </w:rPr>
      </w:pPr>
    </w:p>
    <w:sectPr w:rsidR="0043228E" w:rsidRPr="00432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36373"/>
    <w:multiLevelType w:val="multilevel"/>
    <w:tmpl w:val="1FDA5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84731"/>
    <w:multiLevelType w:val="hybridMultilevel"/>
    <w:tmpl w:val="0BC854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597996"/>
    <w:multiLevelType w:val="hybridMultilevel"/>
    <w:tmpl w:val="A00C6E6E"/>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 w15:restartNumberingAfterBreak="0">
    <w:nsid w:val="298338DA"/>
    <w:multiLevelType w:val="hybridMultilevel"/>
    <w:tmpl w:val="762A9EBE"/>
    <w:lvl w:ilvl="0" w:tplc="074C720E">
      <w:numFmt w:val="bullet"/>
      <w:lvlText w:val="-"/>
      <w:lvlJc w:val="left"/>
      <w:pPr>
        <w:ind w:left="927" w:hanging="360"/>
      </w:pPr>
      <w:rPr>
        <w:rFonts w:ascii="Calibri" w:eastAsia="Calibri" w:hAnsi="Calibri" w:cs="Calibri" w:hint="default"/>
        <w:w w:val="102"/>
        <w:sz w:val="21"/>
        <w:szCs w:val="21"/>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4" w15:restartNumberingAfterBreak="0">
    <w:nsid w:val="309321D2"/>
    <w:multiLevelType w:val="hybridMultilevel"/>
    <w:tmpl w:val="7040E90E"/>
    <w:lvl w:ilvl="0" w:tplc="BAEA237E">
      <w:start w:val="1"/>
      <w:numFmt w:val="decimal"/>
      <w:lvlText w:val="%1."/>
      <w:lvlJc w:val="left"/>
      <w:pPr>
        <w:ind w:left="360" w:hanging="360"/>
      </w:pPr>
      <w:rPr>
        <w:b/>
        <w:bCs/>
        <w:i w:val="0"/>
        <w:iCs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69BD3357"/>
    <w:multiLevelType w:val="hybridMultilevel"/>
    <w:tmpl w:val="3F286F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70356E"/>
    <w:multiLevelType w:val="hybridMultilevel"/>
    <w:tmpl w:val="F1BAFBA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C5"/>
    <w:rsid w:val="00182DA4"/>
    <w:rsid w:val="00290E90"/>
    <w:rsid w:val="0043228E"/>
    <w:rsid w:val="0065565F"/>
    <w:rsid w:val="007B17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D51E"/>
  <w15:chartTrackingRefBased/>
  <w15:docId w15:val="{5C3627F8-48E0-4F87-9189-92D197CE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17C5"/>
    <w:pPr>
      <w:widowControl w:val="0"/>
      <w:spacing w:after="0" w:line="240" w:lineRule="auto"/>
    </w:pPr>
    <w:rPr>
      <w:rFonts w:ascii="Calibri" w:eastAsia="Calibri" w:hAnsi="Calibri" w:cs="Calibri"/>
      <w:lang w:val="en-US"/>
    </w:rPr>
  </w:style>
  <w:style w:type="paragraph" w:styleId="Titre1">
    <w:name w:val="heading 1"/>
    <w:basedOn w:val="Normal"/>
    <w:next w:val="Normal"/>
    <w:link w:val="Titre1Car"/>
    <w:qFormat/>
    <w:rsid w:val="00290E90"/>
    <w:pPr>
      <w:keepNext/>
      <w:widowControl/>
      <w:jc w:val="both"/>
      <w:outlineLvl w:val="0"/>
    </w:pPr>
    <w:rPr>
      <w:rFonts w:ascii="Times New Roman" w:eastAsia="Times New Roman" w:hAnsi="Times New Roman" w:cs="Times New Roman"/>
      <w:bCs/>
      <w:i/>
      <w:i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
    <w:basedOn w:val="Normal"/>
    <w:link w:val="ParagraphedelisteCar"/>
    <w:uiPriority w:val="34"/>
    <w:qFormat/>
    <w:rsid w:val="007B17C5"/>
    <w:pPr>
      <w:ind w:left="396" w:hanging="277"/>
    </w:pPr>
  </w:style>
  <w:style w:type="character" w:customStyle="1" w:styleId="ParagraphedelisteCar">
    <w:name w:val="Paragraphe de liste Car"/>
    <w:aliases w:val="List Paragraph (numbered (a)) Car"/>
    <w:basedOn w:val="Policepardfaut"/>
    <w:link w:val="Paragraphedeliste"/>
    <w:uiPriority w:val="34"/>
    <w:locked/>
    <w:rsid w:val="007B17C5"/>
    <w:rPr>
      <w:rFonts w:ascii="Calibri" w:eastAsia="Calibri" w:hAnsi="Calibri" w:cs="Calibri"/>
      <w:lang w:val="en-US"/>
    </w:rPr>
  </w:style>
  <w:style w:type="paragraph" w:customStyle="1" w:styleId="Style">
    <w:name w:val="Style"/>
    <w:rsid w:val="007B17C5"/>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 w:type="character" w:customStyle="1" w:styleId="Titre1Car">
    <w:name w:val="Titre 1 Car"/>
    <w:basedOn w:val="Policepardfaut"/>
    <w:link w:val="Titre1"/>
    <w:rsid w:val="00290E90"/>
    <w:rPr>
      <w:rFonts w:ascii="Times New Roman" w:eastAsia="Times New Roman" w:hAnsi="Times New Roman" w:cs="Times New Roman"/>
      <w:bCs/>
      <w:i/>
      <w:iCs/>
      <w:sz w:val="24"/>
      <w:szCs w:val="24"/>
    </w:rPr>
  </w:style>
  <w:style w:type="character" w:styleId="Lienhypertexte">
    <w:name w:val="Hyperlink"/>
    <w:uiPriority w:val="99"/>
    <w:unhideWhenUsed/>
    <w:rsid w:val="0043228E"/>
    <w:rPr>
      <w:color w:val="0000FF"/>
      <w:u w:val="single"/>
    </w:rPr>
  </w:style>
  <w:style w:type="paragraph" w:styleId="NormalWeb">
    <w:name w:val="Normal (Web)"/>
    <w:basedOn w:val="Normal"/>
    <w:uiPriority w:val="99"/>
    <w:unhideWhenUsed/>
    <w:rsid w:val="0043228E"/>
    <w:pPr>
      <w:widowControl/>
      <w:spacing w:before="100" w:beforeAutospacing="1" w:after="100" w:afterAutospacing="1"/>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asdirplu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1138</Words>
  <Characters>6260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Slah Ben Ali</dc:creator>
  <cp:keywords/>
  <dc:description/>
  <cp:lastModifiedBy>Slah Ben Ali</cp:lastModifiedBy>
  <cp:revision>2</cp:revision>
  <dcterms:created xsi:type="dcterms:W3CDTF">2019-12-08T17:44:00Z</dcterms:created>
  <dcterms:modified xsi:type="dcterms:W3CDTF">2019-12-08T18:20:00Z</dcterms:modified>
</cp:coreProperties>
</file>