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4A7" w:rsidRPr="00A755D7" w:rsidRDefault="008B04A7" w:rsidP="008B04A7">
      <w:pPr>
        <w:jc w:val="center"/>
        <w:rPr>
          <w:rFonts w:cstheme="minorHAnsi"/>
          <w:b/>
        </w:rPr>
      </w:pPr>
      <w:r w:rsidRPr="00A755D7">
        <w:rPr>
          <w:rFonts w:cstheme="minorHAnsi"/>
          <w:b/>
        </w:rPr>
        <w:t>Ministère du Commerce</w:t>
      </w:r>
    </w:p>
    <w:p w:rsidR="008B04A7" w:rsidRPr="00A755D7" w:rsidRDefault="008B04A7" w:rsidP="008B04A7">
      <w:pPr>
        <w:jc w:val="center"/>
        <w:rPr>
          <w:rFonts w:cstheme="minorHAnsi"/>
          <w:b/>
        </w:rPr>
      </w:pPr>
      <w:r w:rsidRPr="00A755D7">
        <w:rPr>
          <w:rFonts w:cstheme="minorHAnsi"/>
          <w:b/>
        </w:rPr>
        <w:t>3</w:t>
      </w:r>
      <w:r w:rsidRPr="007D25CB">
        <w:rPr>
          <w:rFonts w:cstheme="minorHAnsi"/>
          <w:b/>
          <w:vertAlign w:val="superscript"/>
        </w:rPr>
        <w:t>ème</w:t>
      </w:r>
      <w:r>
        <w:rPr>
          <w:rFonts w:cstheme="minorHAnsi"/>
          <w:b/>
        </w:rPr>
        <w:t xml:space="preserve"> </w:t>
      </w:r>
      <w:r w:rsidRPr="00A755D7">
        <w:rPr>
          <w:rFonts w:cstheme="minorHAnsi"/>
          <w:b/>
        </w:rPr>
        <w:t>Projet de Développement des Exportations (PDE3)</w:t>
      </w:r>
    </w:p>
    <w:p w:rsidR="008B04A7" w:rsidRPr="00A755D7" w:rsidRDefault="008B04A7" w:rsidP="008B04A7">
      <w:pPr>
        <w:jc w:val="center"/>
        <w:rPr>
          <w:rFonts w:cstheme="minorHAnsi"/>
          <w:b/>
        </w:rPr>
      </w:pPr>
      <w:r w:rsidRPr="00A755D7">
        <w:rPr>
          <w:rFonts w:cstheme="minorHAnsi"/>
          <w:b/>
        </w:rPr>
        <w:t>Centre de Promotion des Exportations</w:t>
      </w:r>
    </w:p>
    <w:p w:rsidR="008B04A7" w:rsidRPr="00A755D7" w:rsidRDefault="008B04A7" w:rsidP="008B04A7">
      <w:pPr>
        <w:jc w:val="center"/>
        <w:rPr>
          <w:rFonts w:cstheme="minorHAnsi"/>
          <w:b/>
        </w:rPr>
      </w:pPr>
      <w:r w:rsidRPr="00A755D7">
        <w:rPr>
          <w:rFonts w:cstheme="minorHAnsi"/>
          <w:b/>
        </w:rPr>
        <w:t>Fonds d’Appui à la Compétitivité et au Développement des Exportations (T</w:t>
      </w:r>
      <w:r>
        <w:rPr>
          <w:rFonts w:cstheme="minorHAnsi"/>
          <w:b/>
        </w:rPr>
        <w:t>ASDIR</w:t>
      </w:r>
      <w:r w:rsidRPr="00A755D7">
        <w:rPr>
          <w:rFonts w:cstheme="minorHAnsi"/>
          <w:b/>
          <w:vertAlign w:val="superscript"/>
        </w:rPr>
        <w:t>+</w:t>
      </w:r>
      <w:r w:rsidRPr="00A755D7">
        <w:rPr>
          <w:rFonts w:cstheme="minorHAnsi"/>
          <w:b/>
        </w:rPr>
        <w:t>)</w:t>
      </w:r>
    </w:p>
    <w:p w:rsidR="008B04A7" w:rsidRPr="00A755D7" w:rsidRDefault="008B04A7" w:rsidP="008B04A7">
      <w:pPr>
        <w:spacing w:after="120" w:line="360" w:lineRule="auto"/>
        <w:jc w:val="center"/>
        <w:rPr>
          <w:rFonts w:cstheme="minorHAnsi"/>
          <w:b/>
          <w:spacing w:val="100"/>
        </w:rPr>
      </w:pPr>
      <w:r w:rsidRPr="00A755D7">
        <w:rPr>
          <w:rFonts w:cstheme="minorHAnsi"/>
          <w:b/>
          <w:spacing w:val="100"/>
        </w:rPr>
        <w:sym w:font="Wingdings" w:char="F0F9"/>
      </w:r>
      <w:r w:rsidRPr="00A755D7">
        <w:rPr>
          <w:rFonts w:cstheme="minorHAnsi"/>
          <w:b/>
          <w:spacing w:val="100"/>
        </w:rPr>
        <w:sym w:font="Wingdings" w:char="F0F9"/>
      </w:r>
      <w:r w:rsidRPr="00A755D7">
        <w:rPr>
          <w:rFonts w:cstheme="minorHAnsi"/>
          <w:b/>
          <w:spacing w:val="100"/>
        </w:rPr>
        <w:sym w:font="Wingdings" w:char="F0F9"/>
      </w:r>
      <w:r w:rsidRPr="00A755D7">
        <w:rPr>
          <w:rFonts w:cstheme="minorHAnsi"/>
          <w:b/>
          <w:spacing w:val="100"/>
        </w:rPr>
        <w:sym w:font="Wingdings" w:char="F0F9"/>
      </w:r>
      <w:r w:rsidRPr="00A755D7">
        <w:rPr>
          <w:rFonts w:cstheme="minorHAnsi"/>
          <w:b/>
          <w:spacing w:val="100"/>
        </w:rPr>
        <w:sym w:font="Wingdings" w:char="F0F9"/>
      </w:r>
    </w:p>
    <w:p w:rsidR="008B04A7" w:rsidRPr="00A755D7" w:rsidRDefault="008B04A7" w:rsidP="008B04A7">
      <w:pPr>
        <w:spacing w:after="120" w:line="360" w:lineRule="auto"/>
        <w:jc w:val="center"/>
        <w:rPr>
          <w:rFonts w:cstheme="minorHAnsi"/>
          <w:b/>
        </w:rPr>
      </w:pPr>
      <w:r w:rsidRPr="00A755D7">
        <w:rPr>
          <w:rFonts w:cstheme="minorHAnsi"/>
          <w:b/>
        </w:rPr>
        <w:t xml:space="preserve">TERMES DE </w:t>
      </w:r>
      <w:r w:rsidRPr="00A755D7">
        <w:rPr>
          <w:rFonts w:cstheme="minorHAnsi"/>
          <w:b/>
          <w:bCs/>
        </w:rPr>
        <w:t>REFERENCE</w:t>
      </w:r>
    </w:p>
    <w:p w:rsidR="008B04A7" w:rsidRDefault="008B04A7" w:rsidP="008D53A0">
      <w:pPr>
        <w:jc w:val="center"/>
        <w:rPr>
          <w:rFonts w:cstheme="minorHAnsi"/>
          <w:b/>
          <w:bCs/>
        </w:rPr>
      </w:pPr>
      <w:r w:rsidRPr="00A755D7">
        <w:rPr>
          <w:rFonts w:cstheme="minorHAnsi"/>
          <w:b/>
        </w:rPr>
        <w:t>S</w:t>
      </w:r>
      <w:r>
        <w:rPr>
          <w:rFonts w:cstheme="minorHAnsi"/>
          <w:b/>
        </w:rPr>
        <w:t xml:space="preserve">élection et </w:t>
      </w:r>
      <w:r w:rsidRPr="00A755D7">
        <w:rPr>
          <w:rFonts w:cstheme="minorHAnsi"/>
          <w:b/>
        </w:rPr>
        <w:t xml:space="preserve">emploi </w:t>
      </w:r>
      <w:r w:rsidRPr="00A755D7">
        <w:rPr>
          <w:rFonts w:cstheme="minorHAnsi"/>
          <w:b/>
          <w:bCs/>
        </w:rPr>
        <w:t xml:space="preserve">d’un </w:t>
      </w:r>
      <w:r>
        <w:rPr>
          <w:rFonts w:cstheme="minorHAnsi"/>
          <w:b/>
          <w:bCs/>
        </w:rPr>
        <w:t>Expert</w:t>
      </w:r>
      <w:r w:rsidRPr="00A755D7">
        <w:rPr>
          <w:rFonts w:cstheme="minorHAnsi"/>
          <w:b/>
          <w:bCs/>
        </w:rPr>
        <w:t xml:space="preserve"> </w:t>
      </w:r>
      <w:r>
        <w:rPr>
          <w:rFonts w:cstheme="minorHAnsi"/>
          <w:b/>
          <w:bCs/>
        </w:rPr>
        <w:t xml:space="preserve">en </w:t>
      </w:r>
      <w:r w:rsidR="00583853">
        <w:rPr>
          <w:rFonts w:cstheme="minorHAnsi"/>
          <w:b/>
          <w:bCs/>
        </w:rPr>
        <w:t>D</w:t>
      </w:r>
      <w:r>
        <w:rPr>
          <w:rFonts w:cstheme="minorHAnsi"/>
          <w:b/>
          <w:bCs/>
        </w:rPr>
        <w:t xml:space="preserve">éveloppement des </w:t>
      </w:r>
      <w:r w:rsidR="00583853">
        <w:rPr>
          <w:rFonts w:cstheme="minorHAnsi"/>
          <w:b/>
          <w:bCs/>
        </w:rPr>
        <w:t>E</w:t>
      </w:r>
      <w:r>
        <w:rPr>
          <w:rFonts w:cstheme="minorHAnsi"/>
          <w:b/>
          <w:bCs/>
        </w:rPr>
        <w:t xml:space="preserve">xportations </w:t>
      </w:r>
    </w:p>
    <w:p w:rsidR="008B04A7" w:rsidRDefault="008B04A7" w:rsidP="008B04A7">
      <w:pPr>
        <w:jc w:val="center"/>
        <w:rPr>
          <w:rFonts w:cstheme="minorHAnsi"/>
          <w:b/>
          <w:bCs/>
        </w:rPr>
      </w:pPr>
      <w:r>
        <w:rPr>
          <w:rFonts w:cstheme="minorHAnsi"/>
          <w:b/>
          <w:bCs/>
        </w:rPr>
        <w:t>(</w:t>
      </w:r>
      <w:r w:rsidRPr="0008225B">
        <w:rPr>
          <w:rFonts w:asciiTheme="majorBidi" w:hAnsiTheme="majorBidi" w:cstheme="majorBidi"/>
          <w:b/>
          <w:bCs/>
          <w:sz w:val="16"/>
          <w:szCs w:val="16"/>
        </w:rPr>
        <w:t>Le genre masculin est utilisé à titre générique à seule fin d’alléger le texte et désigne le genre autant féminin que masculin</w:t>
      </w:r>
      <w:r>
        <w:rPr>
          <w:rFonts w:cstheme="minorHAnsi"/>
          <w:b/>
          <w:bCs/>
        </w:rPr>
        <w:t xml:space="preserve">) </w:t>
      </w:r>
    </w:p>
    <w:p w:rsidR="008B04A7" w:rsidRPr="00A755D7" w:rsidRDefault="008B04A7" w:rsidP="008B04A7">
      <w:pPr>
        <w:jc w:val="center"/>
        <w:rPr>
          <w:rFonts w:cstheme="minorHAnsi"/>
          <w:b/>
          <w:bCs/>
        </w:rPr>
      </w:pPr>
    </w:p>
    <w:p w:rsidR="008B04A7" w:rsidRPr="00E6674D" w:rsidRDefault="008B04A7" w:rsidP="00E6674D">
      <w:pPr>
        <w:pStyle w:val="Paragraphedeliste"/>
        <w:numPr>
          <w:ilvl w:val="0"/>
          <w:numId w:val="13"/>
        </w:numPr>
        <w:tabs>
          <w:tab w:val="left" w:pos="284"/>
        </w:tabs>
        <w:spacing w:after="120" w:line="360" w:lineRule="auto"/>
        <w:jc w:val="both"/>
        <w:rPr>
          <w:rFonts w:cstheme="minorHAnsi"/>
          <w:b/>
          <w:u w:val="single"/>
        </w:rPr>
      </w:pPr>
      <w:r w:rsidRPr="00E6674D">
        <w:rPr>
          <w:rFonts w:cstheme="minorHAnsi"/>
          <w:b/>
          <w:u w:val="single"/>
        </w:rPr>
        <w:t>Contexte de la mission</w:t>
      </w:r>
    </w:p>
    <w:p w:rsidR="008B04A7" w:rsidRPr="00F207EC" w:rsidRDefault="008B04A7" w:rsidP="008B04A7">
      <w:pPr>
        <w:tabs>
          <w:tab w:val="left" w:pos="284"/>
        </w:tabs>
        <w:spacing w:after="120" w:line="360" w:lineRule="auto"/>
        <w:jc w:val="both"/>
        <w:rPr>
          <w:rFonts w:cstheme="minorHAnsi"/>
        </w:rPr>
      </w:pPr>
      <w:r w:rsidRPr="00F207EC">
        <w:rPr>
          <w:rFonts w:cstheme="minorHAnsi"/>
        </w:rPr>
        <w:t>Le Gouvernement de la République Tunisienne et la Banque Internationale pour la Reconstruction et le développement (BIRD) ont procédé en date du 19 Août 2014 à la signature d’un accord de prêt relatif au troisième projet de développement des exportations (PDE3) qui a pour objectif de contribuer à l’accroissement et la diversification des exportations par les entreprises soutenues.</w:t>
      </w:r>
    </w:p>
    <w:p w:rsidR="008B04A7" w:rsidRPr="00F207EC" w:rsidRDefault="008B04A7" w:rsidP="008B04A7">
      <w:pPr>
        <w:tabs>
          <w:tab w:val="left" w:pos="284"/>
        </w:tabs>
        <w:spacing w:after="120" w:line="360" w:lineRule="auto"/>
        <w:jc w:val="both"/>
        <w:rPr>
          <w:rFonts w:cstheme="minorHAnsi"/>
        </w:rPr>
      </w:pPr>
      <w:r w:rsidRPr="00F207EC">
        <w:rPr>
          <w:rFonts w:cstheme="minorHAnsi"/>
        </w:rPr>
        <w:t xml:space="preserve">Dans ce cadre, il sera confié au Centre de Promotion des Exportations </w:t>
      </w:r>
      <w:r w:rsidRPr="00F207EC">
        <w:rPr>
          <w:rFonts w:cstheme="minorHAnsi"/>
          <w:bCs/>
        </w:rPr>
        <w:t xml:space="preserve">(CEPEX) </w:t>
      </w:r>
      <w:r w:rsidRPr="00F207EC">
        <w:rPr>
          <w:rFonts w:cstheme="minorHAnsi"/>
        </w:rPr>
        <w:t>la gestion du Fonds d’Appui à la Compétitivité et au Développement des Exportations</w:t>
      </w:r>
      <w:r>
        <w:rPr>
          <w:rFonts w:cstheme="minorHAnsi"/>
        </w:rPr>
        <w:t xml:space="preserve"> F.A.C.D.E</w:t>
      </w:r>
      <w:r w:rsidRPr="00F207EC">
        <w:rPr>
          <w:rFonts w:cstheme="minorHAnsi"/>
          <w:bCs/>
        </w:rPr>
        <w:t> </w:t>
      </w:r>
      <w:r w:rsidRPr="00A755D7">
        <w:rPr>
          <w:rFonts w:cstheme="minorHAnsi"/>
        </w:rPr>
        <w:t>(baptisé TASDIR</w:t>
      </w:r>
      <w:r w:rsidRPr="00A755D7">
        <w:rPr>
          <w:rFonts w:cstheme="minorHAnsi"/>
          <w:vertAlign w:val="superscript"/>
        </w:rPr>
        <w:t>+</w:t>
      </w:r>
      <w:r w:rsidRPr="00A755D7">
        <w:rPr>
          <w:rFonts w:cstheme="minorHAnsi"/>
        </w:rPr>
        <w:t xml:space="preserve">) </w:t>
      </w:r>
      <w:r w:rsidRPr="00F207EC">
        <w:rPr>
          <w:rFonts w:cstheme="minorHAnsi"/>
        </w:rPr>
        <w:t xml:space="preserve">qui apportera son appui aux entreprises ciblées par une gamme diversifiée de prestations de services financiers et non financiers. </w:t>
      </w:r>
    </w:p>
    <w:p w:rsidR="008B04A7" w:rsidRDefault="008B04A7" w:rsidP="008B04A7">
      <w:pPr>
        <w:tabs>
          <w:tab w:val="left" w:pos="284"/>
        </w:tabs>
        <w:spacing w:after="120" w:line="360" w:lineRule="auto"/>
        <w:jc w:val="both"/>
        <w:rPr>
          <w:rFonts w:cstheme="minorHAnsi"/>
        </w:rPr>
      </w:pPr>
      <w:r w:rsidRPr="00F207EC">
        <w:rPr>
          <w:rFonts w:cstheme="minorHAnsi"/>
        </w:rPr>
        <w:t>La gestion de ce projet sera assurée par une unité technique de gestion ayant à sa tête un Directeur Coordonnateur assisté par une équipe d’experts</w:t>
      </w:r>
      <w:r>
        <w:rPr>
          <w:rFonts w:cstheme="minorHAnsi"/>
        </w:rPr>
        <w:t xml:space="preserve"> </w:t>
      </w:r>
      <w:r w:rsidRPr="00454E16">
        <w:rPr>
          <w:rFonts w:cstheme="minorHAnsi"/>
        </w:rPr>
        <w:t>et une cellule administrative.</w:t>
      </w:r>
    </w:p>
    <w:p w:rsidR="008B04A7" w:rsidRPr="00E6674D" w:rsidRDefault="008B04A7" w:rsidP="00E6674D">
      <w:pPr>
        <w:pStyle w:val="Paragraphedeliste"/>
        <w:numPr>
          <w:ilvl w:val="0"/>
          <w:numId w:val="13"/>
        </w:numPr>
        <w:tabs>
          <w:tab w:val="left" w:pos="284"/>
        </w:tabs>
        <w:spacing w:after="120" w:line="360" w:lineRule="auto"/>
        <w:jc w:val="both"/>
        <w:rPr>
          <w:rFonts w:cstheme="minorHAnsi"/>
          <w:b/>
          <w:u w:val="single"/>
        </w:rPr>
      </w:pPr>
      <w:r w:rsidRPr="00E6674D">
        <w:rPr>
          <w:rFonts w:cstheme="minorHAnsi"/>
          <w:b/>
          <w:u w:val="single"/>
        </w:rPr>
        <w:t>Objectif du projet</w:t>
      </w:r>
    </w:p>
    <w:p w:rsidR="008B04A7" w:rsidRPr="008C1E9B" w:rsidRDefault="008B04A7" w:rsidP="008B04A7">
      <w:pPr>
        <w:tabs>
          <w:tab w:val="left" w:pos="284"/>
        </w:tabs>
        <w:spacing w:line="360" w:lineRule="auto"/>
        <w:jc w:val="both"/>
        <w:rPr>
          <w:rFonts w:cstheme="minorHAnsi"/>
          <w:sz w:val="21"/>
          <w:szCs w:val="21"/>
          <w:lang w:eastAsia="fr-FR"/>
        </w:rPr>
      </w:pPr>
      <w:r w:rsidRPr="008C1E9B">
        <w:rPr>
          <w:rFonts w:cstheme="minorHAnsi"/>
          <w:sz w:val="21"/>
          <w:szCs w:val="21"/>
        </w:rPr>
        <w:t>L’objectif du F</w:t>
      </w:r>
      <w:r>
        <w:rPr>
          <w:rFonts w:cstheme="minorHAnsi"/>
          <w:sz w:val="21"/>
          <w:szCs w:val="21"/>
        </w:rPr>
        <w:t>.</w:t>
      </w:r>
      <w:r w:rsidRPr="008C1E9B">
        <w:rPr>
          <w:rFonts w:cstheme="minorHAnsi"/>
          <w:sz w:val="21"/>
          <w:szCs w:val="21"/>
        </w:rPr>
        <w:t>A</w:t>
      </w:r>
      <w:r>
        <w:rPr>
          <w:rFonts w:cstheme="minorHAnsi"/>
          <w:sz w:val="21"/>
          <w:szCs w:val="21"/>
        </w:rPr>
        <w:t>.</w:t>
      </w:r>
      <w:r w:rsidRPr="008C1E9B">
        <w:rPr>
          <w:rFonts w:cstheme="minorHAnsi"/>
          <w:sz w:val="21"/>
          <w:szCs w:val="21"/>
        </w:rPr>
        <w:t>C</w:t>
      </w:r>
      <w:r>
        <w:rPr>
          <w:rFonts w:cstheme="minorHAnsi"/>
          <w:sz w:val="21"/>
          <w:szCs w:val="21"/>
        </w:rPr>
        <w:t>.</w:t>
      </w:r>
      <w:r w:rsidRPr="008C1E9B">
        <w:rPr>
          <w:rFonts w:cstheme="minorHAnsi"/>
          <w:sz w:val="21"/>
          <w:szCs w:val="21"/>
        </w:rPr>
        <w:t>D</w:t>
      </w:r>
      <w:r>
        <w:rPr>
          <w:rFonts w:cstheme="minorHAnsi"/>
          <w:sz w:val="21"/>
          <w:szCs w:val="21"/>
        </w:rPr>
        <w:t>.</w:t>
      </w:r>
      <w:r w:rsidRPr="008C1E9B">
        <w:rPr>
          <w:rFonts w:cstheme="minorHAnsi"/>
          <w:sz w:val="21"/>
          <w:szCs w:val="21"/>
        </w:rPr>
        <w:t>E est de contribuer à l’accroissement et la diversification des exportations tunisiennes moyennant :</w:t>
      </w:r>
    </w:p>
    <w:p w:rsidR="008B04A7" w:rsidRPr="005E6E08" w:rsidRDefault="008B04A7" w:rsidP="00E6674D">
      <w:pPr>
        <w:numPr>
          <w:ilvl w:val="0"/>
          <w:numId w:val="4"/>
        </w:numPr>
        <w:tabs>
          <w:tab w:val="left" w:pos="0"/>
          <w:tab w:val="left" w:pos="284"/>
        </w:tabs>
        <w:spacing w:after="0" w:line="360" w:lineRule="auto"/>
        <w:ind w:left="0" w:firstLine="0"/>
        <w:jc w:val="both"/>
        <w:rPr>
          <w:rFonts w:eastAsia="Calibri" w:cstheme="minorHAnsi"/>
          <w:sz w:val="21"/>
          <w:szCs w:val="21"/>
        </w:rPr>
      </w:pPr>
      <w:r w:rsidRPr="005E6E08">
        <w:rPr>
          <w:rFonts w:eastAsia="Calibri" w:cstheme="minorHAnsi"/>
          <w:sz w:val="21"/>
          <w:szCs w:val="21"/>
        </w:rPr>
        <w:t>Le renforcement des capacités d’accès des entreprises tunisiennes aux marchés extérieurs ;</w:t>
      </w:r>
    </w:p>
    <w:p w:rsidR="008B04A7" w:rsidRPr="005E6E08" w:rsidRDefault="008B04A7" w:rsidP="00E6674D">
      <w:pPr>
        <w:numPr>
          <w:ilvl w:val="0"/>
          <w:numId w:val="4"/>
        </w:numPr>
        <w:tabs>
          <w:tab w:val="left" w:pos="0"/>
          <w:tab w:val="left" w:pos="284"/>
        </w:tabs>
        <w:spacing w:after="0" w:line="360" w:lineRule="auto"/>
        <w:ind w:left="0" w:firstLine="0"/>
        <w:jc w:val="both"/>
        <w:rPr>
          <w:rFonts w:eastAsia="Calibri" w:cstheme="minorHAnsi"/>
          <w:sz w:val="21"/>
          <w:szCs w:val="21"/>
        </w:rPr>
      </w:pPr>
      <w:r w:rsidRPr="005E6E08">
        <w:rPr>
          <w:rFonts w:eastAsia="Calibri" w:cstheme="minorHAnsi"/>
          <w:sz w:val="21"/>
          <w:szCs w:val="21"/>
        </w:rPr>
        <w:t>Le soutien des associations professionnelles et les groupements d’entreprises dans leurs démarches à l’international, et dans leurs efforts à aider les entreprises tunisiennes à exporter des produits à plus haute valeur ajoutée ;</w:t>
      </w:r>
    </w:p>
    <w:p w:rsidR="008B04A7" w:rsidRPr="005E6E08" w:rsidRDefault="008B04A7" w:rsidP="00E6674D">
      <w:pPr>
        <w:numPr>
          <w:ilvl w:val="0"/>
          <w:numId w:val="4"/>
        </w:numPr>
        <w:tabs>
          <w:tab w:val="left" w:pos="0"/>
          <w:tab w:val="left" w:pos="284"/>
        </w:tabs>
        <w:spacing w:after="0" w:line="360" w:lineRule="auto"/>
        <w:ind w:left="0" w:firstLine="0"/>
        <w:jc w:val="both"/>
        <w:rPr>
          <w:rFonts w:eastAsia="Calibri" w:cstheme="minorHAnsi"/>
          <w:sz w:val="21"/>
          <w:szCs w:val="21"/>
        </w:rPr>
      </w:pPr>
      <w:r w:rsidRPr="005E6E08">
        <w:rPr>
          <w:rFonts w:eastAsia="Calibri" w:cstheme="minorHAnsi"/>
          <w:sz w:val="21"/>
          <w:szCs w:val="21"/>
        </w:rPr>
        <w:t xml:space="preserve"> La diversification des exportations pour inclure de nouveaux biens et services à haute valeur ajoutée et augmenter le contenu technologique dans les exportations totales du pays ;</w:t>
      </w:r>
    </w:p>
    <w:p w:rsidR="008B04A7" w:rsidRPr="005E6E08" w:rsidRDefault="008B04A7" w:rsidP="00E6674D">
      <w:pPr>
        <w:numPr>
          <w:ilvl w:val="0"/>
          <w:numId w:val="4"/>
        </w:numPr>
        <w:tabs>
          <w:tab w:val="left" w:pos="0"/>
          <w:tab w:val="left" w:pos="284"/>
        </w:tabs>
        <w:spacing w:after="0" w:line="360" w:lineRule="auto"/>
        <w:ind w:left="0" w:firstLine="0"/>
        <w:jc w:val="both"/>
        <w:rPr>
          <w:rFonts w:eastAsia="Calibri" w:cstheme="minorHAnsi"/>
          <w:sz w:val="21"/>
          <w:szCs w:val="21"/>
        </w:rPr>
      </w:pPr>
      <w:r w:rsidRPr="005E6E08">
        <w:rPr>
          <w:rFonts w:eastAsia="Calibri" w:cstheme="minorHAnsi"/>
          <w:sz w:val="21"/>
          <w:szCs w:val="21"/>
        </w:rPr>
        <w:t>La diversification des marchés en focalisant sur les marchés non traditionnels offrant un fort potentiel à l’exportation et des conditions d’accès favorables tels que le Maghreb, l’Afrique sub-saharienne, l’Europe de l’est et l’Amérique du nord ;</w:t>
      </w:r>
    </w:p>
    <w:p w:rsidR="008B04A7" w:rsidRPr="005E6E08" w:rsidRDefault="008B04A7" w:rsidP="00E6674D">
      <w:pPr>
        <w:numPr>
          <w:ilvl w:val="0"/>
          <w:numId w:val="4"/>
        </w:numPr>
        <w:tabs>
          <w:tab w:val="left" w:pos="0"/>
          <w:tab w:val="left" w:pos="284"/>
        </w:tabs>
        <w:spacing w:after="0" w:line="360" w:lineRule="auto"/>
        <w:ind w:left="0" w:firstLine="0"/>
        <w:jc w:val="both"/>
        <w:rPr>
          <w:rFonts w:eastAsia="Calibri" w:cstheme="minorHAnsi"/>
          <w:sz w:val="21"/>
          <w:szCs w:val="21"/>
        </w:rPr>
      </w:pPr>
      <w:r w:rsidRPr="005E6E08">
        <w:rPr>
          <w:rFonts w:eastAsia="Calibri" w:cstheme="minorHAnsi"/>
          <w:sz w:val="21"/>
          <w:szCs w:val="21"/>
        </w:rPr>
        <w:lastRenderedPageBreak/>
        <w:t>La contribution aux objectifs économiques du gouvernement (création de valeur ajoutée, création d’emplois qualifiés, développement des régions, etc.).</w:t>
      </w:r>
    </w:p>
    <w:p w:rsidR="008B04A7" w:rsidRPr="00E6674D" w:rsidRDefault="008B04A7" w:rsidP="00E6674D">
      <w:pPr>
        <w:pStyle w:val="Paragraphedeliste"/>
        <w:numPr>
          <w:ilvl w:val="0"/>
          <w:numId w:val="13"/>
        </w:numPr>
        <w:tabs>
          <w:tab w:val="left" w:pos="284"/>
        </w:tabs>
        <w:spacing w:after="120" w:line="360" w:lineRule="auto"/>
        <w:jc w:val="both"/>
        <w:rPr>
          <w:rFonts w:cstheme="minorHAnsi"/>
          <w:b/>
          <w:u w:val="single"/>
        </w:rPr>
      </w:pPr>
      <w:r w:rsidRPr="00E6674D">
        <w:rPr>
          <w:rFonts w:cstheme="minorHAnsi"/>
          <w:b/>
          <w:u w:val="single"/>
        </w:rPr>
        <w:t>Etendue et secteurs couverts par le F.A.C.D.E</w:t>
      </w:r>
    </w:p>
    <w:p w:rsidR="008B04A7" w:rsidRPr="005E6E08" w:rsidRDefault="008B04A7" w:rsidP="008B04A7">
      <w:pPr>
        <w:spacing w:after="120" w:line="360" w:lineRule="auto"/>
        <w:jc w:val="both"/>
        <w:rPr>
          <w:rFonts w:eastAsia="Calibri" w:cstheme="minorHAnsi"/>
          <w:sz w:val="21"/>
          <w:szCs w:val="21"/>
        </w:rPr>
      </w:pPr>
      <w:r w:rsidRPr="005E6E08">
        <w:rPr>
          <w:rFonts w:eastAsia="Calibri" w:cstheme="minorHAnsi"/>
          <w:sz w:val="21"/>
          <w:szCs w:val="21"/>
        </w:rPr>
        <w:t xml:space="preserve">Le projet </w:t>
      </w:r>
      <w:r>
        <w:rPr>
          <w:rFonts w:eastAsia="Calibri" w:cstheme="minorHAnsi"/>
          <w:sz w:val="21"/>
          <w:szCs w:val="21"/>
        </w:rPr>
        <w:t xml:space="preserve">se focalise </w:t>
      </w:r>
      <w:r w:rsidRPr="005E6E08">
        <w:rPr>
          <w:rFonts w:eastAsia="Calibri" w:cstheme="minorHAnsi"/>
          <w:sz w:val="21"/>
          <w:szCs w:val="21"/>
        </w:rPr>
        <w:t xml:space="preserve">sur les activités à haute valeur ajoutée dans plusieurs secteurs dont notamment (secteurs </w:t>
      </w:r>
      <w:r>
        <w:rPr>
          <w:rFonts w:eastAsia="Calibri" w:cstheme="minorHAnsi"/>
          <w:sz w:val="21"/>
          <w:szCs w:val="21"/>
        </w:rPr>
        <w:t xml:space="preserve">&amp; filières </w:t>
      </w:r>
      <w:r w:rsidRPr="005E6E08">
        <w:rPr>
          <w:rFonts w:eastAsia="Calibri" w:cstheme="minorHAnsi"/>
          <w:sz w:val="21"/>
          <w:szCs w:val="21"/>
        </w:rPr>
        <w:t xml:space="preserve">à titre indicatif) : </w:t>
      </w:r>
      <w:r>
        <w:rPr>
          <w:rFonts w:eastAsia="Calibri" w:cstheme="minorHAnsi"/>
          <w:sz w:val="21"/>
          <w:szCs w:val="21"/>
        </w:rPr>
        <w:t xml:space="preserve">la construction, l’agriculture &amp; l’agroalimentaire, les produits de la mer, </w:t>
      </w:r>
      <w:r w:rsidRPr="005E6E08">
        <w:rPr>
          <w:rFonts w:eastAsia="Calibri" w:cstheme="minorHAnsi"/>
          <w:sz w:val="21"/>
          <w:szCs w:val="21"/>
        </w:rPr>
        <w:t xml:space="preserve">les industries </w:t>
      </w:r>
      <w:r>
        <w:rPr>
          <w:rFonts w:eastAsia="Calibri" w:cstheme="minorHAnsi"/>
          <w:sz w:val="21"/>
          <w:szCs w:val="21"/>
        </w:rPr>
        <w:t xml:space="preserve">électriques et </w:t>
      </w:r>
      <w:r w:rsidRPr="005E6E08">
        <w:rPr>
          <w:rFonts w:eastAsia="Calibri" w:cstheme="minorHAnsi"/>
          <w:sz w:val="21"/>
          <w:szCs w:val="21"/>
        </w:rPr>
        <w:t xml:space="preserve">électroniques, </w:t>
      </w:r>
      <w:r>
        <w:rPr>
          <w:rFonts w:eastAsia="Calibri" w:cstheme="minorHAnsi"/>
          <w:sz w:val="21"/>
          <w:szCs w:val="21"/>
        </w:rPr>
        <w:t>l’</w:t>
      </w:r>
      <w:r w:rsidRPr="005E6E08">
        <w:rPr>
          <w:rFonts w:eastAsia="Calibri" w:cstheme="minorHAnsi"/>
          <w:sz w:val="21"/>
          <w:szCs w:val="21"/>
        </w:rPr>
        <w:t xml:space="preserve">automobiles, </w:t>
      </w:r>
      <w:r>
        <w:rPr>
          <w:rFonts w:eastAsia="Calibri" w:cstheme="minorHAnsi"/>
          <w:sz w:val="21"/>
          <w:szCs w:val="21"/>
        </w:rPr>
        <w:t>l’</w:t>
      </w:r>
      <w:r w:rsidRPr="005E6E08">
        <w:rPr>
          <w:rFonts w:eastAsia="Calibri" w:cstheme="minorHAnsi"/>
          <w:sz w:val="21"/>
          <w:szCs w:val="21"/>
        </w:rPr>
        <w:t xml:space="preserve">aéronautiques, </w:t>
      </w:r>
      <w:r>
        <w:rPr>
          <w:rFonts w:eastAsia="Calibri" w:cstheme="minorHAnsi"/>
          <w:sz w:val="21"/>
          <w:szCs w:val="21"/>
        </w:rPr>
        <w:t xml:space="preserve">les produits </w:t>
      </w:r>
      <w:r w:rsidRPr="005E6E08">
        <w:rPr>
          <w:rFonts w:eastAsia="Calibri" w:cstheme="minorHAnsi"/>
          <w:sz w:val="21"/>
          <w:szCs w:val="21"/>
        </w:rPr>
        <w:t>pharmaceutiques</w:t>
      </w:r>
      <w:r>
        <w:rPr>
          <w:rFonts w:eastAsia="Calibri" w:cstheme="minorHAnsi"/>
          <w:sz w:val="21"/>
          <w:szCs w:val="21"/>
        </w:rPr>
        <w:t>,</w:t>
      </w:r>
      <w:r w:rsidRPr="005E6E08">
        <w:rPr>
          <w:rFonts w:eastAsia="Calibri" w:cstheme="minorHAnsi"/>
          <w:sz w:val="21"/>
          <w:szCs w:val="21"/>
        </w:rPr>
        <w:t xml:space="preserve"> les services de santé, d’éducation, d’offshoring, et IT ; mais aussi les créneaux à haute valeur ajoutée dans le tourisme (tel que le tourisme médical) et l’habillement.</w:t>
      </w:r>
    </w:p>
    <w:p w:rsidR="008B04A7" w:rsidRPr="00E6674D" w:rsidRDefault="008B04A7" w:rsidP="00E6674D">
      <w:pPr>
        <w:pStyle w:val="Paragraphedeliste"/>
        <w:numPr>
          <w:ilvl w:val="0"/>
          <w:numId w:val="13"/>
        </w:numPr>
        <w:tabs>
          <w:tab w:val="left" w:pos="284"/>
        </w:tabs>
        <w:spacing w:after="120" w:line="360" w:lineRule="auto"/>
        <w:jc w:val="both"/>
        <w:rPr>
          <w:rFonts w:cstheme="minorHAnsi"/>
          <w:b/>
          <w:u w:val="single"/>
        </w:rPr>
      </w:pPr>
      <w:r w:rsidRPr="00E6674D">
        <w:rPr>
          <w:rFonts w:cstheme="minorHAnsi"/>
          <w:b/>
          <w:u w:val="single"/>
        </w:rPr>
        <w:t>Les activités couvertes par le Fonds</w:t>
      </w:r>
    </w:p>
    <w:p w:rsidR="008B04A7" w:rsidRPr="005E6E08" w:rsidRDefault="008B04A7" w:rsidP="008B04A7">
      <w:pPr>
        <w:spacing w:line="360" w:lineRule="auto"/>
        <w:jc w:val="both"/>
        <w:rPr>
          <w:rFonts w:eastAsia="Calibri" w:cstheme="minorHAnsi"/>
          <w:sz w:val="21"/>
          <w:szCs w:val="21"/>
        </w:rPr>
      </w:pPr>
      <w:r w:rsidRPr="005E6E08">
        <w:rPr>
          <w:rFonts w:eastAsia="Calibri" w:cstheme="minorHAnsi"/>
          <w:sz w:val="21"/>
          <w:szCs w:val="21"/>
        </w:rPr>
        <w:t>Le F</w:t>
      </w:r>
      <w:r>
        <w:rPr>
          <w:rFonts w:eastAsia="Calibri" w:cstheme="minorHAnsi"/>
          <w:sz w:val="21"/>
          <w:szCs w:val="21"/>
        </w:rPr>
        <w:t>.</w:t>
      </w:r>
      <w:r w:rsidRPr="005E6E08">
        <w:rPr>
          <w:rFonts w:eastAsia="Calibri" w:cstheme="minorHAnsi"/>
          <w:sz w:val="21"/>
          <w:szCs w:val="21"/>
        </w:rPr>
        <w:t>A</w:t>
      </w:r>
      <w:r>
        <w:rPr>
          <w:rFonts w:eastAsia="Calibri" w:cstheme="minorHAnsi"/>
          <w:sz w:val="21"/>
          <w:szCs w:val="21"/>
        </w:rPr>
        <w:t>.</w:t>
      </w:r>
      <w:r w:rsidRPr="005E6E08">
        <w:rPr>
          <w:rFonts w:eastAsia="Calibri" w:cstheme="minorHAnsi"/>
          <w:sz w:val="21"/>
          <w:szCs w:val="21"/>
        </w:rPr>
        <w:t>C</w:t>
      </w:r>
      <w:r>
        <w:rPr>
          <w:rFonts w:eastAsia="Calibri" w:cstheme="minorHAnsi"/>
          <w:sz w:val="21"/>
          <w:szCs w:val="21"/>
        </w:rPr>
        <w:t>.</w:t>
      </w:r>
      <w:r w:rsidRPr="005E6E08">
        <w:rPr>
          <w:rFonts w:eastAsia="Calibri" w:cstheme="minorHAnsi"/>
          <w:sz w:val="21"/>
          <w:szCs w:val="21"/>
        </w:rPr>
        <w:t>D</w:t>
      </w:r>
      <w:r>
        <w:rPr>
          <w:rFonts w:eastAsia="Calibri" w:cstheme="minorHAnsi"/>
          <w:sz w:val="21"/>
          <w:szCs w:val="21"/>
        </w:rPr>
        <w:t>.</w:t>
      </w:r>
      <w:r w:rsidRPr="005E6E08">
        <w:rPr>
          <w:rFonts w:eastAsia="Calibri" w:cstheme="minorHAnsi"/>
          <w:sz w:val="21"/>
          <w:szCs w:val="21"/>
        </w:rPr>
        <w:t>E couvre les différentes phases de développement à l’international de l’entreprise tout en mettant l’accent sur les points suivants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La planification du développement des exportations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Les accréditations spéciales exigées par les marchés cibles pour l’exportation des biens et de services à haut contenu technologique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L’adaptation des produits et services aux spécificités des marchés cibles (certification, développement et marketing de nouveaux produits, …)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Le développement de programmes promotionnels (outils de promotion, participation à des manifestations promotionnelles, campagnes de communication, …)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L’organisation de missions d’études et de prospection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Le développement de partenariat d’affaires (invitation d’acheteurs, rencontres B to B, …) ;</w:t>
      </w:r>
    </w:p>
    <w:p w:rsidR="008B04A7" w:rsidRPr="005E6E08" w:rsidRDefault="008B04A7" w:rsidP="00E6674D">
      <w:pPr>
        <w:pStyle w:val="Paragraphedeliste"/>
        <w:numPr>
          <w:ilvl w:val="0"/>
          <w:numId w:val="5"/>
        </w:numPr>
        <w:tabs>
          <w:tab w:val="left" w:pos="284"/>
        </w:tabs>
        <w:spacing w:after="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L’implantation commerciale sur les marchés étrangers (filiales, succursales)</w:t>
      </w:r>
      <w:r>
        <w:rPr>
          <w:rFonts w:asciiTheme="minorHAnsi" w:eastAsia="Calibri" w:hAnsiTheme="minorHAnsi" w:cstheme="minorHAnsi"/>
          <w:sz w:val="21"/>
          <w:szCs w:val="21"/>
        </w:rPr>
        <w:t xml:space="preserve"> </w:t>
      </w:r>
      <w:r w:rsidRPr="005E6E08">
        <w:rPr>
          <w:rFonts w:asciiTheme="minorHAnsi" w:eastAsia="Calibri" w:hAnsiTheme="minorHAnsi" w:cstheme="minorHAnsi"/>
          <w:sz w:val="21"/>
          <w:szCs w:val="21"/>
        </w:rPr>
        <w:t>;</w:t>
      </w:r>
    </w:p>
    <w:p w:rsidR="008B04A7" w:rsidRPr="005E6E08" w:rsidRDefault="008B04A7" w:rsidP="00E6674D">
      <w:pPr>
        <w:pStyle w:val="Paragraphedeliste"/>
        <w:numPr>
          <w:ilvl w:val="0"/>
          <w:numId w:val="5"/>
        </w:numPr>
        <w:tabs>
          <w:tab w:val="left" w:pos="284"/>
        </w:tabs>
        <w:spacing w:after="120" w:line="360" w:lineRule="auto"/>
        <w:ind w:left="0" w:firstLine="0"/>
        <w:jc w:val="both"/>
        <w:rPr>
          <w:rFonts w:asciiTheme="minorHAnsi" w:eastAsia="Calibri" w:hAnsiTheme="minorHAnsi" w:cstheme="minorHAnsi"/>
          <w:sz w:val="21"/>
          <w:szCs w:val="21"/>
        </w:rPr>
      </w:pPr>
      <w:r w:rsidRPr="005E6E08">
        <w:rPr>
          <w:rFonts w:asciiTheme="minorHAnsi" w:eastAsia="Calibri" w:hAnsiTheme="minorHAnsi" w:cstheme="minorHAnsi"/>
          <w:sz w:val="21"/>
          <w:szCs w:val="21"/>
        </w:rPr>
        <w:t>L’emploi et le renforcement des ressources humaines en particulier les nouveaux diplômés en les impliquant dans le processus d’exportation.</w:t>
      </w:r>
    </w:p>
    <w:p w:rsidR="008B04A7" w:rsidRPr="00E6674D" w:rsidRDefault="008B04A7" w:rsidP="00E6674D">
      <w:pPr>
        <w:pStyle w:val="Paragraphedeliste"/>
        <w:numPr>
          <w:ilvl w:val="0"/>
          <w:numId w:val="13"/>
        </w:numPr>
        <w:tabs>
          <w:tab w:val="left" w:pos="284"/>
        </w:tabs>
        <w:spacing w:after="120" w:line="360" w:lineRule="auto"/>
        <w:jc w:val="both"/>
        <w:rPr>
          <w:rFonts w:cstheme="minorHAnsi"/>
          <w:b/>
          <w:u w:val="single"/>
        </w:rPr>
      </w:pPr>
      <w:r w:rsidRPr="00E6674D">
        <w:rPr>
          <w:rFonts w:cstheme="minorHAnsi"/>
          <w:b/>
          <w:u w:val="single"/>
        </w:rPr>
        <w:t>Durée du projet</w:t>
      </w:r>
    </w:p>
    <w:p w:rsidR="008B04A7" w:rsidRPr="005E6E08" w:rsidRDefault="008B04A7" w:rsidP="008B04A7">
      <w:pPr>
        <w:spacing w:after="120" w:line="360" w:lineRule="auto"/>
        <w:jc w:val="both"/>
        <w:rPr>
          <w:rFonts w:eastAsia="Calibri" w:cstheme="minorHAnsi"/>
          <w:sz w:val="21"/>
          <w:szCs w:val="21"/>
        </w:rPr>
      </w:pPr>
      <w:r w:rsidRPr="005E6E08">
        <w:rPr>
          <w:rFonts w:eastAsia="Calibri" w:cstheme="minorHAnsi"/>
          <w:sz w:val="21"/>
          <w:szCs w:val="21"/>
        </w:rPr>
        <w:t>Le projet couvr</w:t>
      </w:r>
      <w:r>
        <w:rPr>
          <w:rFonts w:eastAsia="Calibri" w:cstheme="minorHAnsi"/>
          <w:sz w:val="21"/>
          <w:szCs w:val="21"/>
        </w:rPr>
        <w:t>e</w:t>
      </w:r>
      <w:r w:rsidRPr="005E6E08">
        <w:rPr>
          <w:rFonts w:eastAsia="Calibri" w:cstheme="minorHAnsi"/>
          <w:sz w:val="21"/>
          <w:szCs w:val="21"/>
        </w:rPr>
        <w:t xml:space="preserve"> la </w:t>
      </w:r>
      <w:r w:rsidRPr="00B75EDF">
        <w:rPr>
          <w:rFonts w:eastAsia="Calibri" w:cstheme="minorHAnsi"/>
          <w:sz w:val="21"/>
          <w:szCs w:val="21"/>
        </w:rPr>
        <w:t xml:space="preserve">période 2016- </w:t>
      </w:r>
      <w:r w:rsidRPr="008B65FB">
        <w:rPr>
          <w:rFonts w:eastAsia="Calibri" w:cstheme="minorHAnsi"/>
          <w:sz w:val="21"/>
          <w:szCs w:val="21"/>
        </w:rPr>
        <w:t>2020.</w:t>
      </w:r>
    </w:p>
    <w:p w:rsidR="008B04A7" w:rsidRPr="00E6674D" w:rsidRDefault="008B04A7" w:rsidP="00E6674D">
      <w:pPr>
        <w:pStyle w:val="Paragraphedeliste"/>
        <w:numPr>
          <w:ilvl w:val="0"/>
          <w:numId w:val="13"/>
        </w:numPr>
        <w:tabs>
          <w:tab w:val="left" w:pos="284"/>
        </w:tabs>
        <w:spacing w:after="120" w:line="360" w:lineRule="auto"/>
        <w:jc w:val="both"/>
        <w:rPr>
          <w:rFonts w:eastAsia="Calibri" w:cstheme="minorHAnsi"/>
          <w:b/>
          <w:u w:val="single"/>
        </w:rPr>
      </w:pPr>
      <w:r w:rsidRPr="00E6674D">
        <w:rPr>
          <w:rFonts w:eastAsia="Calibri" w:cstheme="minorHAnsi"/>
          <w:b/>
          <w:u w:val="single"/>
        </w:rPr>
        <w:t xml:space="preserve">Durée de la mission </w:t>
      </w:r>
    </w:p>
    <w:p w:rsidR="008B04A7" w:rsidRDefault="008B04A7" w:rsidP="008B04A7">
      <w:pPr>
        <w:widowControl w:val="0"/>
        <w:autoSpaceDE w:val="0"/>
        <w:autoSpaceDN w:val="0"/>
        <w:adjustRightInd w:val="0"/>
        <w:spacing w:after="120" w:line="360" w:lineRule="auto"/>
        <w:ind w:right="9"/>
        <w:jc w:val="both"/>
        <w:rPr>
          <w:rFonts w:eastAsiaTheme="minorEastAsia" w:cstheme="minorHAnsi"/>
          <w:lang w:eastAsia="fr-FR"/>
        </w:rPr>
      </w:pPr>
      <w:r w:rsidRPr="00A755D7">
        <w:rPr>
          <w:rFonts w:eastAsiaTheme="minorEastAsia" w:cstheme="minorHAnsi"/>
          <w:lang w:eastAsia="fr-FR"/>
        </w:rPr>
        <w:t>La durée</w:t>
      </w:r>
      <w:r>
        <w:rPr>
          <w:rFonts w:eastAsiaTheme="minorEastAsia" w:cstheme="minorHAnsi"/>
          <w:lang w:eastAsia="fr-FR"/>
        </w:rPr>
        <w:t xml:space="preserve"> du contrat de l’Expert </w:t>
      </w:r>
      <w:r w:rsidRPr="005B173D">
        <w:rPr>
          <w:rFonts w:eastAsiaTheme="minorEastAsia" w:cstheme="minorHAnsi"/>
          <w:lang w:eastAsia="fr-FR"/>
        </w:rPr>
        <w:t>est de</w:t>
      </w:r>
      <w:r>
        <w:rPr>
          <w:rFonts w:eastAsiaTheme="minorEastAsia" w:cstheme="minorHAnsi"/>
          <w:lang w:eastAsia="fr-FR"/>
        </w:rPr>
        <w:t xml:space="preserve"> 12 mois</w:t>
      </w:r>
      <w:r w:rsidRPr="005B173D">
        <w:rPr>
          <w:rFonts w:eastAsiaTheme="minorEastAsia" w:cstheme="minorHAnsi"/>
          <w:lang w:eastAsia="fr-FR"/>
        </w:rPr>
        <w:t xml:space="preserve">. Cependant, il sera évalué </w:t>
      </w:r>
      <w:r>
        <w:rPr>
          <w:rFonts w:eastAsiaTheme="minorEastAsia" w:cstheme="minorHAnsi"/>
          <w:lang w:eastAsia="fr-FR"/>
        </w:rPr>
        <w:t xml:space="preserve">semestriellement en fonction des objectifs à atteindre et définis préalablement. </w:t>
      </w:r>
    </w:p>
    <w:p w:rsidR="00E6674D" w:rsidRPr="00E6674D" w:rsidRDefault="00E6674D" w:rsidP="00E6674D">
      <w:pPr>
        <w:pStyle w:val="Paragraphedeliste"/>
        <w:numPr>
          <w:ilvl w:val="0"/>
          <w:numId w:val="13"/>
        </w:numPr>
        <w:autoSpaceDE w:val="0"/>
        <w:autoSpaceDN w:val="0"/>
        <w:adjustRightInd w:val="0"/>
        <w:spacing w:after="0" w:line="240" w:lineRule="auto"/>
        <w:jc w:val="both"/>
        <w:rPr>
          <w:rFonts w:cs="Calibri,Bold"/>
          <w:b/>
          <w:bCs/>
          <w:u w:val="single"/>
        </w:rPr>
      </w:pPr>
      <w:r w:rsidRPr="00E6674D">
        <w:rPr>
          <w:rFonts w:cs="Calibri,Bold"/>
          <w:b/>
          <w:bCs/>
          <w:u w:val="single"/>
        </w:rPr>
        <w:t>Liaison hiérarchique et Mission de l’expert :</w:t>
      </w:r>
    </w:p>
    <w:p w:rsidR="00E6674D" w:rsidRDefault="00E6674D" w:rsidP="00E6674D">
      <w:pPr>
        <w:autoSpaceDE w:val="0"/>
        <w:autoSpaceDN w:val="0"/>
        <w:adjustRightInd w:val="0"/>
        <w:spacing w:after="0" w:line="360" w:lineRule="auto"/>
        <w:jc w:val="both"/>
        <w:rPr>
          <w:rFonts w:cs="Calibri"/>
        </w:rPr>
      </w:pPr>
    </w:p>
    <w:p w:rsidR="00E6674D" w:rsidRPr="00E6674D" w:rsidRDefault="00E6674D" w:rsidP="00E6674D">
      <w:pPr>
        <w:autoSpaceDE w:val="0"/>
        <w:autoSpaceDN w:val="0"/>
        <w:adjustRightInd w:val="0"/>
        <w:spacing w:after="0" w:line="360" w:lineRule="auto"/>
        <w:jc w:val="both"/>
        <w:rPr>
          <w:rFonts w:cs="Calibri"/>
        </w:rPr>
      </w:pPr>
      <w:r w:rsidRPr="00E6674D">
        <w:rPr>
          <w:rFonts w:cs="Calibri"/>
        </w:rPr>
        <w:t xml:space="preserve">L’expert en exportation retenu va intégrer l’équipe de gestion du projet et travaillera sous la supervision du Chef d’équipe et le Directeur Coordinateur. Il est appelé à apporter toute son expertise pour la réalisation des </w:t>
      </w:r>
      <w:r w:rsidRPr="00E6674D">
        <w:rPr>
          <w:rFonts w:cs="Calibri"/>
        </w:rPr>
        <w:lastRenderedPageBreak/>
        <w:t>objectifs du projet. Sa mission couvrira les étapes de lancement, de réalisation et d’évaluation du projet et concernera notamment les activités suivantes :</w:t>
      </w:r>
    </w:p>
    <w:p w:rsidR="00E6674D" w:rsidRPr="00E6674D" w:rsidRDefault="00E6674D" w:rsidP="00E6674D">
      <w:pPr>
        <w:autoSpaceDE w:val="0"/>
        <w:autoSpaceDN w:val="0"/>
        <w:adjustRightInd w:val="0"/>
        <w:spacing w:after="0" w:line="240" w:lineRule="auto"/>
        <w:jc w:val="both"/>
        <w:rPr>
          <w:rFonts w:cs="Calibri"/>
          <w:sz w:val="16"/>
          <w:szCs w:val="16"/>
        </w:rPr>
      </w:pPr>
    </w:p>
    <w:p w:rsidR="00E6674D" w:rsidRPr="00E6674D" w:rsidRDefault="00E6674D" w:rsidP="00E6674D">
      <w:pPr>
        <w:pStyle w:val="Paragraphedeliste"/>
        <w:numPr>
          <w:ilvl w:val="0"/>
          <w:numId w:val="8"/>
        </w:numPr>
        <w:tabs>
          <w:tab w:val="left" w:pos="426"/>
        </w:tabs>
        <w:autoSpaceDE w:val="0"/>
        <w:autoSpaceDN w:val="0"/>
        <w:adjustRightInd w:val="0"/>
        <w:spacing w:after="0"/>
        <w:ind w:left="0" w:firstLine="0"/>
        <w:jc w:val="both"/>
        <w:rPr>
          <w:rFonts w:asciiTheme="minorHAnsi" w:hAnsiTheme="minorHAnsi" w:cs="Calibri,Bold"/>
          <w:b/>
          <w:bCs/>
        </w:rPr>
      </w:pPr>
      <w:r w:rsidRPr="00E6674D">
        <w:rPr>
          <w:rFonts w:asciiTheme="minorHAnsi" w:hAnsiTheme="minorHAnsi" w:cs="Calibri,Bold"/>
          <w:b/>
          <w:bCs/>
        </w:rPr>
        <w:t>Conception et design des appels à candidature et promotion du FACDE auprès du secteur privé :</w:t>
      </w:r>
    </w:p>
    <w:p w:rsidR="00E6674D" w:rsidRPr="00E6674D" w:rsidRDefault="00E6674D" w:rsidP="00E6674D">
      <w:pPr>
        <w:pStyle w:val="Paragraphedeliste"/>
        <w:numPr>
          <w:ilvl w:val="0"/>
          <w:numId w:val="15"/>
        </w:numPr>
        <w:tabs>
          <w:tab w:val="left" w:pos="426"/>
        </w:tabs>
        <w:autoSpaceDE w:val="0"/>
        <w:autoSpaceDN w:val="0"/>
        <w:adjustRightInd w:val="0"/>
        <w:spacing w:after="0"/>
        <w:jc w:val="both"/>
        <w:rPr>
          <w:rFonts w:cs="Calibri"/>
        </w:rPr>
      </w:pPr>
      <w:r w:rsidRPr="00E6674D">
        <w:rPr>
          <w:rFonts w:cs="Calibri"/>
        </w:rPr>
        <w:t>Contribuer à la conception des appels à candidature et des conditions de participation.</w:t>
      </w:r>
    </w:p>
    <w:p w:rsidR="00E6674D" w:rsidRPr="00E6674D" w:rsidRDefault="00E6674D" w:rsidP="00E6674D">
      <w:pPr>
        <w:pStyle w:val="Paragraphedeliste"/>
        <w:numPr>
          <w:ilvl w:val="0"/>
          <w:numId w:val="15"/>
        </w:numPr>
        <w:tabs>
          <w:tab w:val="left" w:pos="426"/>
        </w:tabs>
        <w:autoSpaceDE w:val="0"/>
        <w:autoSpaceDN w:val="0"/>
        <w:adjustRightInd w:val="0"/>
        <w:spacing w:after="0"/>
        <w:jc w:val="both"/>
        <w:rPr>
          <w:rFonts w:cs="Calibri"/>
        </w:rPr>
      </w:pPr>
      <w:r w:rsidRPr="00E6674D">
        <w:rPr>
          <w:rFonts w:cs="Calibri"/>
        </w:rPr>
        <w:t>Participer activement avec l’équipe TASDIR+ à promouvoir le projet pour cibler et augmenter la participation des candidats potentiels.</w:t>
      </w:r>
    </w:p>
    <w:p w:rsidR="00E6674D" w:rsidRPr="00E6674D" w:rsidRDefault="00E6674D" w:rsidP="00E6674D">
      <w:pPr>
        <w:tabs>
          <w:tab w:val="left" w:pos="426"/>
        </w:tabs>
        <w:autoSpaceDE w:val="0"/>
        <w:autoSpaceDN w:val="0"/>
        <w:adjustRightInd w:val="0"/>
        <w:spacing w:after="0" w:line="240" w:lineRule="auto"/>
        <w:jc w:val="both"/>
        <w:rPr>
          <w:rFonts w:cs="Wingdings"/>
        </w:rPr>
      </w:pPr>
    </w:p>
    <w:p w:rsidR="00E6674D" w:rsidRPr="00E6674D" w:rsidRDefault="00E6674D" w:rsidP="00E6674D">
      <w:pPr>
        <w:pStyle w:val="Paragraphedeliste"/>
        <w:numPr>
          <w:ilvl w:val="0"/>
          <w:numId w:val="8"/>
        </w:numPr>
        <w:tabs>
          <w:tab w:val="left" w:pos="426"/>
        </w:tabs>
        <w:autoSpaceDE w:val="0"/>
        <w:autoSpaceDN w:val="0"/>
        <w:adjustRightInd w:val="0"/>
        <w:spacing w:after="0"/>
        <w:ind w:left="0" w:firstLine="0"/>
        <w:jc w:val="both"/>
        <w:rPr>
          <w:rFonts w:asciiTheme="minorHAnsi" w:hAnsiTheme="minorHAnsi" w:cs="Calibri"/>
        </w:rPr>
      </w:pPr>
      <w:r w:rsidRPr="00E6674D">
        <w:rPr>
          <w:rFonts w:asciiTheme="minorHAnsi" w:hAnsiTheme="minorHAnsi" w:cs="Calibri,Bold"/>
          <w:b/>
          <w:bCs/>
        </w:rPr>
        <w:t>Etude des dossiers et sélection des entreprises et organismes candidats</w:t>
      </w:r>
    </w:p>
    <w:p w:rsidR="00E6674D" w:rsidRPr="00E6674D" w:rsidRDefault="00E6674D" w:rsidP="00E6674D">
      <w:pPr>
        <w:pStyle w:val="Paragraphedeliste"/>
        <w:numPr>
          <w:ilvl w:val="0"/>
          <w:numId w:val="17"/>
        </w:numPr>
        <w:tabs>
          <w:tab w:val="left" w:pos="426"/>
        </w:tabs>
        <w:autoSpaceDE w:val="0"/>
        <w:autoSpaceDN w:val="0"/>
        <w:adjustRightInd w:val="0"/>
        <w:spacing w:after="0"/>
        <w:jc w:val="both"/>
        <w:rPr>
          <w:rFonts w:cs="Calibri"/>
        </w:rPr>
      </w:pPr>
      <w:r w:rsidRPr="00E6674D">
        <w:rPr>
          <w:rFonts w:cs="Calibri"/>
        </w:rPr>
        <w:t>Etudier et évaluer les dossiers de candidature.</w:t>
      </w:r>
    </w:p>
    <w:p w:rsidR="00E6674D" w:rsidRPr="00E6674D" w:rsidRDefault="00E6674D" w:rsidP="00E6674D">
      <w:pPr>
        <w:pStyle w:val="Paragraphedeliste"/>
        <w:numPr>
          <w:ilvl w:val="0"/>
          <w:numId w:val="17"/>
        </w:numPr>
        <w:tabs>
          <w:tab w:val="left" w:pos="426"/>
        </w:tabs>
        <w:autoSpaceDE w:val="0"/>
        <w:autoSpaceDN w:val="0"/>
        <w:adjustRightInd w:val="0"/>
        <w:spacing w:after="0"/>
        <w:jc w:val="both"/>
        <w:rPr>
          <w:rFonts w:cs="Calibri"/>
        </w:rPr>
      </w:pPr>
      <w:r w:rsidRPr="00E6674D">
        <w:rPr>
          <w:rFonts w:cs="Calibri"/>
        </w:rPr>
        <w:t>Recommander les candidatures à retenir.</w:t>
      </w:r>
    </w:p>
    <w:p w:rsidR="00E6674D" w:rsidRPr="00E6674D" w:rsidRDefault="00E6674D" w:rsidP="00E6674D">
      <w:pPr>
        <w:tabs>
          <w:tab w:val="left" w:pos="426"/>
        </w:tabs>
        <w:autoSpaceDE w:val="0"/>
        <w:autoSpaceDN w:val="0"/>
        <w:adjustRightInd w:val="0"/>
        <w:spacing w:after="0" w:line="240" w:lineRule="auto"/>
        <w:jc w:val="both"/>
        <w:rPr>
          <w:rFonts w:cs="Calibri"/>
        </w:rPr>
      </w:pPr>
    </w:p>
    <w:p w:rsidR="00E6674D" w:rsidRPr="00E6674D" w:rsidRDefault="00E6674D" w:rsidP="00BF2062">
      <w:pPr>
        <w:pStyle w:val="Paragraphedeliste"/>
        <w:numPr>
          <w:ilvl w:val="0"/>
          <w:numId w:val="8"/>
        </w:numPr>
        <w:tabs>
          <w:tab w:val="left" w:pos="426"/>
        </w:tabs>
        <w:autoSpaceDE w:val="0"/>
        <w:autoSpaceDN w:val="0"/>
        <w:adjustRightInd w:val="0"/>
        <w:spacing w:after="0"/>
        <w:ind w:left="0" w:firstLine="0"/>
        <w:jc w:val="both"/>
        <w:rPr>
          <w:rFonts w:asciiTheme="minorHAnsi" w:hAnsiTheme="minorHAnsi" w:cs="Calibri,Bold"/>
          <w:b/>
          <w:bCs/>
        </w:rPr>
      </w:pPr>
      <w:r w:rsidRPr="00E6674D">
        <w:rPr>
          <w:rFonts w:asciiTheme="minorHAnsi" w:hAnsiTheme="minorHAnsi" w:cs="Calibri,Bold"/>
          <w:b/>
          <w:bCs/>
        </w:rPr>
        <w:t>Suivi de la mise en œuvre et accompagnement</w:t>
      </w:r>
    </w:p>
    <w:p w:rsidR="00E6674D" w:rsidRPr="00BF2062"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Calibri"/>
        </w:rPr>
        <w:t>Etudier et valider proactivement les plans export (business plans) avec les entreprises bénéficiaires.</w:t>
      </w:r>
    </w:p>
    <w:p w:rsidR="00E6674D" w:rsidRPr="00BF2062"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Times New Roman"/>
        </w:rPr>
        <w:t>Accompagner et s</w:t>
      </w:r>
      <w:r w:rsidRPr="00BF2062">
        <w:rPr>
          <w:rFonts w:cs="Calibri"/>
        </w:rPr>
        <w:t>uivre régulièrement les entreprises bénéficiaires dans la mise en œuvre des plans export y compris les éventuelles modifications.</w:t>
      </w:r>
    </w:p>
    <w:p w:rsidR="00E6674D"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Calibri"/>
        </w:rPr>
        <w:t>Traiter et/ou valider les requêtes de remboursement des clients en conformité avec leurs business plans.</w:t>
      </w:r>
    </w:p>
    <w:p w:rsidR="00583853" w:rsidRPr="00BF2062" w:rsidRDefault="00583853" w:rsidP="00583853">
      <w:pPr>
        <w:pStyle w:val="Paragraphedeliste"/>
        <w:tabs>
          <w:tab w:val="left" w:pos="426"/>
        </w:tabs>
        <w:autoSpaceDE w:val="0"/>
        <w:autoSpaceDN w:val="0"/>
        <w:adjustRightInd w:val="0"/>
        <w:spacing w:after="0"/>
        <w:jc w:val="both"/>
        <w:rPr>
          <w:rFonts w:cs="Calibri"/>
        </w:rPr>
      </w:pPr>
    </w:p>
    <w:p w:rsidR="00E6674D" w:rsidRPr="00BF2062" w:rsidRDefault="00E6674D" w:rsidP="00BF2062">
      <w:pPr>
        <w:pStyle w:val="Paragraphedeliste"/>
        <w:numPr>
          <w:ilvl w:val="0"/>
          <w:numId w:val="23"/>
        </w:numPr>
        <w:tabs>
          <w:tab w:val="left" w:pos="426"/>
        </w:tabs>
        <w:autoSpaceDE w:val="0"/>
        <w:autoSpaceDN w:val="0"/>
        <w:adjustRightInd w:val="0"/>
        <w:spacing w:after="0"/>
        <w:ind w:hanging="720"/>
        <w:jc w:val="both"/>
        <w:rPr>
          <w:rFonts w:cs="Calibri,Bold"/>
          <w:b/>
          <w:bCs/>
        </w:rPr>
      </w:pPr>
      <w:r w:rsidRPr="00BF2062">
        <w:rPr>
          <w:rFonts w:cs="Calibri,Bold"/>
          <w:b/>
          <w:bCs/>
        </w:rPr>
        <w:t>Reporting et évaluation</w:t>
      </w:r>
    </w:p>
    <w:p w:rsidR="00E6674D" w:rsidRPr="00BF2062"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Calibri"/>
        </w:rPr>
        <w:t>Rapporter régulièrement l’avancement des plans export des entreprises bénéficiaires, à sa charge, au chef d’équipe.</w:t>
      </w:r>
    </w:p>
    <w:p w:rsidR="00E6674D" w:rsidRPr="00BF2062"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Calibri"/>
        </w:rPr>
        <w:t>Contribuer à la préparation des rapports d’avancement périodiques à la demande du chef d’équipe ou du Directeur Coordinateur.</w:t>
      </w:r>
    </w:p>
    <w:p w:rsidR="00E6674D" w:rsidRPr="00BF2062" w:rsidRDefault="00E6674D" w:rsidP="00BF2062">
      <w:pPr>
        <w:pStyle w:val="Paragraphedeliste"/>
        <w:numPr>
          <w:ilvl w:val="0"/>
          <w:numId w:val="19"/>
        </w:numPr>
        <w:tabs>
          <w:tab w:val="left" w:pos="426"/>
        </w:tabs>
        <w:autoSpaceDE w:val="0"/>
        <w:autoSpaceDN w:val="0"/>
        <w:adjustRightInd w:val="0"/>
        <w:spacing w:after="0"/>
        <w:jc w:val="both"/>
        <w:rPr>
          <w:rFonts w:cs="Calibri"/>
        </w:rPr>
      </w:pPr>
      <w:r w:rsidRPr="00BF2062">
        <w:rPr>
          <w:rFonts w:cs="Calibri"/>
        </w:rPr>
        <w:t>Collaborer à toutes les actions d’évaluation de la performance du projet.</w:t>
      </w:r>
    </w:p>
    <w:p w:rsidR="00E6674D" w:rsidRPr="00E6674D" w:rsidRDefault="00E6674D" w:rsidP="00E6674D">
      <w:pPr>
        <w:tabs>
          <w:tab w:val="left" w:pos="426"/>
        </w:tabs>
        <w:autoSpaceDE w:val="0"/>
        <w:autoSpaceDN w:val="0"/>
        <w:adjustRightInd w:val="0"/>
        <w:spacing w:after="0" w:line="240" w:lineRule="auto"/>
        <w:jc w:val="both"/>
        <w:rPr>
          <w:rFonts w:cs="Calibri"/>
        </w:rPr>
      </w:pPr>
    </w:p>
    <w:p w:rsidR="00E6674D" w:rsidRPr="00E6674D" w:rsidRDefault="00E6674D" w:rsidP="00BF2062">
      <w:pPr>
        <w:pStyle w:val="Paragraphedeliste"/>
        <w:numPr>
          <w:ilvl w:val="0"/>
          <w:numId w:val="8"/>
        </w:numPr>
        <w:tabs>
          <w:tab w:val="left" w:pos="426"/>
        </w:tabs>
        <w:autoSpaceDE w:val="0"/>
        <w:autoSpaceDN w:val="0"/>
        <w:adjustRightInd w:val="0"/>
        <w:spacing w:after="0"/>
        <w:ind w:left="0" w:firstLine="0"/>
        <w:jc w:val="both"/>
        <w:rPr>
          <w:rFonts w:asciiTheme="minorHAnsi" w:hAnsiTheme="minorHAnsi" w:cs="Calibri,Bold"/>
          <w:b/>
          <w:bCs/>
        </w:rPr>
      </w:pPr>
      <w:r w:rsidRPr="00E6674D">
        <w:rPr>
          <w:rFonts w:asciiTheme="minorHAnsi" w:hAnsiTheme="minorHAnsi" w:cs="Calibri,Bold"/>
          <w:b/>
          <w:bCs/>
        </w:rPr>
        <w:t>Gestion d’équipe et collaboration interne</w:t>
      </w:r>
    </w:p>
    <w:p w:rsidR="00E6674D" w:rsidRPr="00BF2062" w:rsidRDefault="00E6674D" w:rsidP="00BF2062">
      <w:pPr>
        <w:pStyle w:val="Paragraphedeliste"/>
        <w:numPr>
          <w:ilvl w:val="0"/>
          <w:numId w:val="24"/>
        </w:numPr>
        <w:tabs>
          <w:tab w:val="left" w:pos="426"/>
        </w:tabs>
        <w:autoSpaceDE w:val="0"/>
        <w:autoSpaceDN w:val="0"/>
        <w:adjustRightInd w:val="0"/>
        <w:spacing w:after="0"/>
        <w:jc w:val="both"/>
        <w:rPr>
          <w:rFonts w:cs="Calibri"/>
        </w:rPr>
      </w:pPr>
      <w:r w:rsidRPr="00BF2062">
        <w:rPr>
          <w:rFonts w:cs="Calibri"/>
        </w:rPr>
        <w:t>Guider et cadrer les assistants affectés à l’équipe du FACDE (internes et externes) afin d’assurer le transfert du savoir-faire aux cadres du CEPEX en vue d’y créer et stimuler l’existence d’une expertise pérenne dédiée au service de l’appareil exportateur.</w:t>
      </w:r>
    </w:p>
    <w:p w:rsidR="00E6674D" w:rsidRPr="00BF2062" w:rsidRDefault="00E6674D" w:rsidP="00BF2062">
      <w:pPr>
        <w:pStyle w:val="Paragraphedeliste"/>
        <w:numPr>
          <w:ilvl w:val="0"/>
          <w:numId w:val="24"/>
        </w:numPr>
        <w:tabs>
          <w:tab w:val="left" w:pos="426"/>
        </w:tabs>
        <w:autoSpaceDE w:val="0"/>
        <w:autoSpaceDN w:val="0"/>
        <w:adjustRightInd w:val="0"/>
        <w:spacing w:after="0"/>
        <w:jc w:val="both"/>
        <w:rPr>
          <w:rFonts w:cs="Calibri"/>
        </w:rPr>
      </w:pPr>
      <w:r w:rsidRPr="00BF2062">
        <w:rPr>
          <w:rFonts w:cs="Calibri"/>
        </w:rPr>
        <w:t>Participer avec l’équipe de gestion à toutes les activités du projet en vue d’assurer sa réussite.</w:t>
      </w:r>
    </w:p>
    <w:p w:rsidR="00E6674D" w:rsidRPr="008D53A0" w:rsidRDefault="00E6674D" w:rsidP="00E6674D">
      <w:pPr>
        <w:autoSpaceDE w:val="0"/>
        <w:autoSpaceDN w:val="0"/>
        <w:adjustRightInd w:val="0"/>
        <w:spacing w:after="0" w:line="240" w:lineRule="auto"/>
        <w:jc w:val="both"/>
        <w:rPr>
          <w:rFonts w:ascii="Calibri" w:hAnsi="Calibri" w:cs="Calibri"/>
          <w:sz w:val="16"/>
          <w:szCs w:val="16"/>
        </w:rPr>
      </w:pPr>
    </w:p>
    <w:p w:rsidR="008B04A7" w:rsidRDefault="008B04A7" w:rsidP="00E6674D">
      <w:pPr>
        <w:pStyle w:val="Paragraphedeliste"/>
        <w:numPr>
          <w:ilvl w:val="0"/>
          <w:numId w:val="13"/>
        </w:numPr>
        <w:tabs>
          <w:tab w:val="left" w:pos="284"/>
        </w:tabs>
        <w:spacing w:after="120" w:line="360" w:lineRule="auto"/>
        <w:jc w:val="both"/>
        <w:rPr>
          <w:rFonts w:eastAsia="Calibri" w:cstheme="minorHAnsi"/>
          <w:b/>
          <w:u w:val="single"/>
        </w:rPr>
      </w:pPr>
      <w:r w:rsidRPr="00E6674D">
        <w:rPr>
          <w:rFonts w:eastAsia="Calibri" w:cstheme="minorHAnsi"/>
          <w:b/>
          <w:u w:val="single"/>
        </w:rPr>
        <w:t xml:space="preserve">Profil </w:t>
      </w:r>
      <w:r w:rsidR="00E6674D">
        <w:rPr>
          <w:rFonts w:eastAsia="Calibri" w:cstheme="minorHAnsi"/>
          <w:b/>
          <w:u w:val="single"/>
        </w:rPr>
        <w:t xml:space="preserve">et qualités professionnelles </w:t>
      </w:r>
      <w:r w:rsidRPr="00E6674D">
        <w:rPr>
          <w:rFonts w:eastAsia="Calibri" w:cstheme="minorHAnsi"/>
          <w:b/>
          <w:u w:val="single"/>
        </w:rPr>
        <w:t>de l’expert</w:t>
      </w:r>
    </w:p>
    <w:p w:rsidR="00E6674D" w:rsidRPr="00420545" w:rsidRDefault="00E6674D" w:rsidP="00E6674D">
      <w:pPr>
        <w:autoSpaceDE w:val="0"/>
        <w:autoSpaceDN w:val="0"/>
        <w:adjustRightInd w:val="0"/>
        <w:spacing w:after="0" w:line="276" w:lineRule="auto"/>
        <w:jc w:val="both"/>
        <w:rPr>
          <w:rFonts w:cs="Calibri,Bold"/>
          <w:b/>
          <w:bCs/>
        </w:rPr>
      </w:pPr>
      <w:r w:rsidRPr="00420545">
        <w:rPr>
          <w:rFonts w:cs="Calibri,Bold"/>
          <w:b/>
          <w:bCs/>
        </w:rPr>
        <w:t>8.1. Formation académique :</w:t>
      </w:r>
    </w:p>
    <w:p w:rsidR="00E6674D" w:rsidRPr="00420545" w:rsidRDefault="00E6674D" w:rsidP="00E6674D">
      <w:pPr>
        <w:autoSpaceDE w:val="0"/>
        <w:autoSpaceDN w:val="0"/>
        <w:adjustRightInd w:val="0"/>
        <w:spacing w:after="0" w:line="276" w:lineRule="auto"/>
        <w:jc w:val="both"/>
        <w:rPr>
          <w:rFonts w:cs="Calibri"/>
        </w:rPr>
      </w:pPr>
      <w:r w:rsidRPr="00420545">
        <w:rPr>
          <w:rFonts w:cs="Calibri"/>
        </w:rPr>
        <w:t>Diplôme universitaire exigé : master en sciences économiques ou de gestion, MBA ou diplôme d’ingénieur.</w:t>
      </w:r>
    </w:p>
    <w:p w:rsidR="00E6674D" w:rsidRPr="00420545" w:rsidRDefault="00E6674D" w:rsidP="00E6674D">
      <w:pPr>
        <w:autoSpaceDE w:val="0"/>
        <w:autoSpaceDN w:val="0"/>
        <w:adjustRightInd w:val="0"/>
        <w:spacing w:after="0" w:line="276" w:lineRule="auto"/>
        <w:jc w:val="both"/>
        <w:rPr>
          <w:rFonts w:cs="Calibri"/>
        </w:rPr>
      </w:pPr>
    </w:p>
    <w:p w:rsidR="00E6674D" w:rsidRPr="00420545" w:rsidRDefault="00E6674D" w:rsidP="00E6674D">
      <w:pPr>
        <w:autoSpaceDE w:val="0"/>
        <w:autoSpaceDN w:val="0"/>
        <w:adjustRightInd w:val="0"/>
        <w:spacing w:after="0" w:line="276" w:lineRule="auto"/>
        <w:jc w:val="both"/>
        <w:rPr>
          <w:rFonts w:cs="Calibri,Bold"/>
          <w:b/>
          <w:bCs/>
        </w:rPr>
      </w:pPr>
      <w:r w:rsidRPr="00420545">
        <w:rPr>
          <w:rFonts w:cs="Calibri,Bold"/>
          <w:b/>
          <w:bCs/>
        </w:rPr>
        <w:t>8.2. Expérience professionnelle :</w:t>
      </w:r>
    </w:p>
    <w:p w:rsidR="00E6674D" w:rsidRPr="00BF2062" w:rsidRDefault="00E6674D" w:rsidP="008D53A0">
      <w:pPr>
        <w:pStyle w:val="Paragraphedeliste"/>
        <w:numPr>
          <w:ilvl w:val="0"/>
          <w:numId w:val="8"/>
        </w:numPr>
        <w:autoSpaceDE w:val="0"/>
        <w:autoSpaceDN w:val="0"/>
        <w:adjustRightInd w:val="0"/>
        <w:spacing w:after="0"/>
        <w:ind w:left="426" w:hanging="426"/>
        <w:jc w:val="both"/>
        <w:rPr>
          <w:rFonts w:cs="Calibri"/>
        </w:rPr>
      </w:pPr>
      <w:r w:rsidRPr="00BF2062">
        <w:rPr>
          <w:rFonts w:cs="Calibri"/>
        </w:rPr>
        <w:t>Expérience</w:t>
      </w:r>
      <w:r w:rsidR="008D53A0">
        <w:rPr>
          <w:rFonts w:cs="Calibri"/>
        </w:rPr>
        <w:t>(</w:t>
      </w:r>
      <w:r w:rsidRPr="00BF2062">
        <w:rPr>
          <w:rFonts w:cs="Calibri"/>
        </w:rPr>
        <w:t>s</w:t>
      </w:r>
      <w:r w:rsidR="008D53A0">
        <w:rPr>
          <w:rFonts w:cs="Calibri"/>
        </w:rPr>
        <w:t>)</w:t>
      </w:r>
      <w:r w:rsidRPr="00BF2062">
        <w:rPr>
          <w:rFonts w:cs="Calibri"/>
        </w:rPr>
        <w:t xml:space="preserve"> professionnelle</w:t>
      </w:r>
      <w:r w:rsidR="008D53A0">
        <w:rPr>
          <w:rFonts w:cs="Calibri"/>
        </w:rPr>
        <w:t>(</w:t>
      </w:r>
      <w:r w:rsidRPr="00BF2062">
        <w:rPr>
          <w:rFonts w:cs="Calibri"/>
        </w:rPr>
        <w:t>s</w:t>
      </w:r>
      <w:r w:rsidR="008D53A0">
        <w:rPr>
          <w:rFonts w:cs="Calibri"/>
        </w:rPr>
        <w:t>)</w:t>
      </w:r>
      <w:r w:rsidRPr="00BF2062">
        <w:rPr>
          <w:rFonts w:cs="Calibri"/>
        </w:rPr>
        <w:t xml:space="preserve"> </w:t>
      </w:r>
      <w:r w:rsidR="008D53A0">
        <w:rPr>
          <w:rFonts w:cs="Calibri"/>
        </w:rPr>
        <w:t xml:space="preserve">en rapport avec le développement des exportations et/ou le développement des secteurs économiques </w:t>
      </w:r>
      <w:r w:rsidRPr="00BF2062">
        <w:rPr>
          <w:rFonts w:cs="Calibri"/>
        </w:rPr>
        <w:t>ainsi que les activités de traitements des affaires [ingénierie, comptabilité, BPO (Business Process Outsourcing)].</w:t>
      </w:r>
    </w:p>
    <w:p w:rsidR="00E6674D" w:rsidRPr="00BF2062" w:rsidRDefault="00E6674D" w:rsidP="00E6674D">
      <w:pPr>
        <w:autoSpaceDE w:val="0"/>
        <w:autoSpaceDN w:val="0"/>
        <w:adjustRightInd w:val="0"/>
        <w:spacing w:after="0" w:line="276" w:lineRule="auto"/>
        <w:ind w:left="426" w:hanging="426"/>
        <w:jc w:val="both"/>
        <w:rPr>
          <w:rFonts w:cs="Wingdings"/>
          <w:sz w:val="16"/>
          <w:szCs w:val="16"/>
        </w:rPr>
      </w:pPr>
    </w:p>
    <w:p w:rsidR="00E6674D" w:rsidRPr="00BF2062" w:rsidRDefault="00E6674D" w:rsidP="008D0D4C">
      <w:pPr>
        <w:pStyle w:val="Paragraphedeliste"/>
        <w:numPr>
          <w:ilvl w:val="0"/>
          <w:numId w:val="8"/>
        </w:numPr>
        <w:autoSpaceDE w:val="0"/>
        <w:autoSpaceDN w:val="0"/>
        <w:adjustRightInd w:val="0"/>
        <w:spacing w:after="0"/>
        <w:ind w:left="426" w:hanging="426"/>
        <w:jc w:val="both"/>
        <w:rPr>
          <w:rFonts w:cs="Calibri"/>
        </w:rPr>
      </w:pPr>
      <w:r w:rsidRPr="00BF2062">
        <w:rPr>
          <w:rFonts w:cs="Calibri"/>
        </w:rPr>
        <w:t xml:space="preserve">Une bonification sera attribuée pour les profils ayant justifiés </w:t>
      </w:r>
      <w:r w:rsidR="008D53A0">
        <w:rPr>
          <w:rFonts w:cs="Calibri"/>
        </w:rPr>
        <w:t xml:space="preserve">une expérience avec les projets </w:t>
      </w:r>
      <w:r w:rsidR="008D0D4C">
        <w:rPr>
          <w:rFonts w:cs="Calibri"/>
        </w:rPr>
        <w:t xml:space="preserve">réalisés avec les organismes internationaux. </w:t>
      </w:r>
    </w:p>
    <w:p w:rsidR="00E6674D" w:rsidRPr="00420545" w:rsidRDefault="00E6674D" w:rsidP="00E6674D">
      <w:pPr>
        <w:autoSpaceDE w:val="0"/>
        <w:autoSpaceDN w:val="0"/>
        <w:adjustRightInd w:val="0"/>
        <w:spacing w:after="0" w:line="276" w:lineRule="auto"/>
        <w:jc w:val="both"/>
        <w:rPr>
          <w:rFonts w:cs="Calibri"/>
        </w:rPr>
      </w:pPr>
    </w:p>
    <w:p w:rsidR="00E6674D" w:rsidRPr="00BF2062" w:rsidRDefault="00E6674D" w:rsidP="008D0D4C">
      <w:pPr>
        <w:pStyle w:val="Paragraphedeliste"/>
        <w:numPr>
          <w:ilvl w:val="0"/>
          <w:numId w:val="14"/>
        </w:numPr>
        <w:autoSpaceDE w:val="0"/>
        <w:autoSpaceDN w:val="0"/>
        <w:adjustRightInd w:val="0"/>
        <w:spacing w:after="0"/>
        <w:ind w:left="567" w:hanging="567"/>
        <w:jc w:val="both"/>
        <w:rPr>
          <w:rFonts w:cs="Calibri"/>
        </w:rPr>
      </w:pPr>
      <w:r w:rsidRPr="00583853">
        <w:rPr>
          <w:rFonts w:cs="Calibri"/>
        </w:rPr>
        <w:lastRenderedPageBreak/>
        <w:t xml:space="preserve">Expérience d’au moins </w:t>
      </w:r>
      <w:r w:rsidR="008D0D4C" w:rsidRPr="00583853">
        <w:rPr>
          <w:rFonts w:cs="Calibri"/>
        </w:rPr>
        <w:t>5</w:t>
      </w:r>
      <w:r w:rsidRPr="00583853">
        <w:rPr>
          <w:rFonts w:cs="Calibri"/>
        </w:rPr>
        <w:t xml:space="preserve"> ans</w:t>
      </w:r>
      <w:r w:rsidRPr="00BF2062">
        <w:rPr>
          <w:rFonts w:cs="Calibri"/>
        </w:rPr>
        <w:t xml:space="preserve"> dans </w:t>
      </w:r>
      <w:r w:rsidR="008D0D4C">
        <w:rPr>
          <w:rFonts w:cs="Calibri"/>
        </w:rPr>
        <w:t>au moins l’une d</w:t>
      </w:r>
      <w:r w:rsidRPr="00BF2062">
        <w:rPr>
          <w:rFonts w:cs="Calibri"/>
        </w:rPr>
        <w:t>es activités suivantes :</w:t>
      </w:r>
    </w:p>
    <w:p w:rsidR="00E6674D" w:rsidRPr="00BF2062" w:rsidRDefault="00E6674D" w:rsidP="008D0D4C">
      <w:pPr>
        <w:pStyle w:val="Paragraphedeliste"/>
        <w:numPr>
          <w:ilvl w:val="0"/>
          <w:numId w:val="28"/>
        </w:numPr>
        <w:autoSpaceDE w:val="0"/>
        <w:autoSpaceDN w:val="0"/>
        <w:adjustRightInd w:val="0"/>
        <w:spacing w:after="0"/>
        <w:jc w:val="both"/>
        <w:rPr>
          <w:rFonts w:cs="Calibri"/>
        </w:rPr>
      </w:pPr>
      <w:r w:rsidRPr="00BF2062">
        <w:rPr>
          <w:rFonts w:cs="Calibri"/>
        </w:rPr>
        <w:t>La promotion des exportations ou des investissements étrangers</w:t>
      </w:r>
      <w:r w:rsidR="008D0D4C">
        <w:rPr>
          <w:rFonts w:cs="Calibri"/>
        </w:rPr>
        <w:t xml:space="preserve"> ou le développement des secteurs d’activité économiques </w:t>
      </w:r>
      <w:r w:rsidRPr="00BF2062">
        <w:rPr>
          <w:rFonts w:cs="Calibri"/>
        </w:rPr>
        <w:t>dans des agences publiques et/ou associations professionnelles privés</w:t>
      </w:r>
      <w:r w:rsidR="008D0D4C">
        <w:rPr>
          <w:rFonts w:cs="Calibri"/>
        </w:rPr>
        <w:t xml:space="preserve"> et/ou dans les agences internationales</w:t>
      </w:r>
      <w:r w:rsidRPr="00BF2062">
        <w:rPr>
          <w:rFonts w:cs="Calibri"/>
        </w:rPr>
        <w:t xml:space="preserve"> ;</w:t>
      </w:r>
    </w:p>
    <w:p w:rsidR="00E6674D" w:rsidRPr="00BF2062" w:rsidRDefault="00E6674D" w:rsidP="00BF2062">
      <w:pPr>
        <w:pStyle w:val="Paragraphedeliste"/>
        <w:numPr>
          <w:ilvl w:val="0"/>
          <w:numId w:val="28"/>
        </w:numPr>
        <w:autoSpaceDE w:val="0"/>
        <w:autoSpaceDN w:val="0"/>
        <w:adjustRightInd w:val="0"/>
        <w:spacing w:after="0"/>
        <w:jc w:val="both"/>
        <w:rPr>
          <w:rFonts w:cs="Calibri"/>
        </w:rPr>
      </w:pPr>
      <w:r w:rsidRPr="00BF2062">
        <w:rPr>
          <w:rFonts w:cs="Calibri"/>
        </w:rPr>
        <w:t>Le développement des chaines de valeur ;</w:t>
      </w:r>
    </w:p>
    <w:p w:rsidR="00E6674D" w:rsidRPr="00BF2062" w:rsidRDefault="00E6674D" w:rsidP="00BF2062">
      <w:pPr>
        <w:pStyle w:val="Paragraphedeliste"/>
        <w:numPr>
          <w:ilvl w:val="0"/>
          <w:numId w:val="28"/>
        </w:numPr>
        <w:autoSpaceDE w:val="0"/>
        <w:autoSpaceDN w:val="0"/>
        <w:adjustRightInd w:val="0"/>
        <w:spacing w:after="0"/>
        <w:jc w:val="both"/>
        <w:rPr>
          <w:rFonts w:cs="Calibri"/>
        </w:rPr>
      </w:pPr>
      <w:r w:rsidRPr="00BF2062">
        <w:rPr>
          <w:rFonts w:cs="Calibri"/>
        </w:rPr>
        <w:t>Le consulting sur l’amélioration de la performance économique, de la croissance et de la compétitivité des entreprises.</w:t>
      </w:r>
    </w:p>
    <w:p w:rsidR="00E6674D" w:rsidRPr="00BF2062" w:rsidRDefault="00E6674D" w:rsidP="00E6674D">
      <w:pPr>
        <w:autoSpaceDE w:val="0"/>
        <w:autoSpaceDN w:val="0"/>
        <w:adjustRightInd w:val="0"/>
        <w:spacing w:after="0" w:line="276" w:lineRule="auto"/>
        <w:jc w:val="both"/>
        <w:rPr>
          <w:rFonts w:cs="Calibri"/>
          <w:sz w:val="16"/>
          <w:szCs w:val="16"/>
        </w:rPr>
      </w:pPr>
    </w:p>
    <w:p w:rsidR="00E6674D" w:rsidRPr="008D0D4C" w:rsidRDefault="00E6674D" w:rsidP="008D0D4C">
      <w:pPr>
        <w:autoSpaceDE w:val="0"/>
        <w:autoSpaceDN w:val="0"/>
        <w:adjustRightInd w:val="0"/>
        <w:spacing w:after="0"/>
        <w:jc w:val="both"/>
        <w:rPr>
          <w:rFonts w:cs="Calibri"/>
        </w:rPr>
      </w:pPr>
      <w:r w:rsidRPr="008D0D4C">
        <w:rPr>
          <w:rFonts w:cs="Calibri"/>
        </w:rPr>
        <w:t>Une préférence sera accordée pour l’expérience réussie dans le</w:t>
      </w:r>
      <w:r w:rsidR="008D0D4C">
        <w:rPr>
          <w:rFonts w:cs="Calibri"/>
        </w:rPr>
        <w:t>s projets avec les agences internationales et/ou dans le</w:t>
      </w:r>
      <w:r w:rsidRPr="008D0D4C">
        <w:rPr>
          <w:rFonts w:cs="Calibri"/>
        </w:rPr>
        <w:t xml:space="preserve"> secteur privé, surtout dans la promotion et le marketing des produits et services dans/vers les marchés d’exportation.</w:t>
      </w:r>
    </w:p>
    <w:p w:rsidR="00E6674D" w:rsidRPr="00BF2062" w:rsidRDefault="00E6674D" w:rsidP="00E6674D">
      <w:pPr>
        <w:autoSpaceDE w:val="0"/>
        <w:autoSpaceDN w:val="0"/>
        <w:adjustRightInd w:val="0"/>
        <w:spacing w:after="0" w:line="276" w:lineRule="auto"/>
        <w:jc w:val="both"/>
        <w:rPr>
          <w:rFonts w:cs="Calibri"/>
          <w:sz w:val="16"/>
          <w:szCs w:val="16"/>
        </w:rPr>
      </w:pPr>
    </w:p>
    <w:p w:rsidR="00E6674D" w:rsidRPr="00420545" w:rsidRDefault="00E6674D" w:rsidP="00BF2062">
      <w:pPr>
        <w:autoSpaceDE w:val="0"/>
        <w:autoSpaceDN w:val="0"/>
        <w:adjustRightInd w:val="0"/>
        <w:spacing w:after="0" w:line="360" w:lineRule="auto"/>
        <w:jc w:val="both"/>
        <w:rPr>
          <w:rFonts w:cs="Calibri,Bold"/>
          <w:b/>
          <w:bCs/>
        </w:rPr>
      </w:pPr>
      <w:r w:rsidRPr="00420545">
        <w:rPr>
          <w:rFonts w:cs="Calibri,Bold"/>
          <w:b/>
          <w:bCs/>
        </w:rPr>
        <w:t>8.3. Autres Compétences requises :</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Excellente capacité de travailler en équipe.</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La capacité de bâtir des stratégies de marketing à l’international (plan marketing, plan export, outils de marketing et de promotion) constitue un plus.</w:t>
      </w:r>
    </w:p>
    <w:p w:rsidR="00E6674D" w:rsidRPr="00BF2062" w:rsidRDefault="00E6674D" w:rsidP="008D0D4C">
      <w:pPr>
        <w:pStyle w:val="Paragraphedeliste"/>
        <w:numPr>
          <w:ilvl w:val="0"/>
          <w:numId w:val="32"/>
        </w:numPr>
        <w:autoSpaceDE w:val="0"/>
        <w:autoSpaceDN w:val="0"/>
        <w:adjustRightInd w:val="0"/>
        <w:spacing w:after="0" w:line="360" w:lineRule="auto"/>
        <w:jc w:val="both"/>
        <w:rPr>
          <w:rFonts w:cs="Calibri"/>
        </w:rPr>
      </w:pPr>
      <w:r w:rsidRPr="00BF2062">
        <w:rPr>
          <w:rFonts w:cs="Calibri"/>
        </w:rPr>
        <w:t>La capacité d’a</w:t>
      </w:r>
      <w:r w:rsidR="008D0D4C">
        <w:rPr>
          <w:rFonts w:cs="Calibri"/>
        </w:rPr>
        <w:t xml:space="preserve">ppuyer les entreprises à se placer sur les marchés internationaux cibles </w:t>
      </w:r>
      <w:r w:rsidRPr="00BF2062">
        <w:rPr>
          <w:rFonts w:cs="Calibri"/>
        </w:rPr>
        <w:t>(stratégie d’entrée sur le marché, méthodes et choix des intermédiaires) constitue un plus.</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Aptitudes d'organisation et de planification stratégique : capacités d'arbitrage et de prise de décision et de fédérer différents acteurs institutionnels et professionnels.</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Capacité de travailler de manière autonome et indépendante.</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Compétences relationnelles et facilité de communication orale et écrite.</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Maîtrise des outils de suivi, d'évaluation et de reporting en matière de gestion des projets.</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Intégrité, rigueur, réactivité et capacité d'adaptation.</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Bonne compréhension des environnements politiques nationaux et régionaux.</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Capacité de travailler sous pression et sur plusieurs chantiers simultanément.</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Orientation/résultats - Orientation/clients.</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Maîtriser l'outil informatique et les logiciels courants de de la suite MS Office (Word, Excel,</w:t>
      </w:r>
    </w:p>
    <w:p w:rsidR="00E6674D" w:rsidRPr="00BF2062" w:rsidRDefault="00E6674D" w:rsidP="00BF2062">
      <w:pPr>
        <w:pStyle w:val="Paragraphedeliste"/>
        <w:numPr>
          <w:ilvl w:val="0"/>
          <w:numId w:val="32"/>
        </w:numPr>
        <w:autoSpaceDE w:val="0"/>
        <w:autoSpaceDN w:val="0"/>
        <w:adjustRightInd w:val="0"/>
        <w:spacing w:after="0" w:line="360" w:lineRule="auto"/>
        <w:jc w:val="both"/>
        <w:rPr>
          <w:rFonts w:cs="Calibri"/>
        </w:rPr>
      </w:pPr>
      <w:r w:rsidRPr="00BF2062">
        <w:rPr>
          <w:rFonts w:cs="Calibri"/>
        </w:rPr>
        <w:t>Access, PowerPoint, Outlook). La connaissance de logiciels de gestion de projet constitue un atout.</w:t>
      </w:r>
    </w:p>
    <w:p w:rsidR="00E6674D" w:rsidRPr="00420545" w:rsidRDefault="00E6674D" w:rsidP="00BF2062">
      <w:pPr>
        <w:pStyle w:val="Paragraphedeliste"/>
        <w:numPr>
          <w:ilvl w:val="0"/>
          <w:numId w:val="32"/>
        </w:numPr>
        <w:spacing w:line="360" w:lineRule="auto"/>
        <w:jc w:val="both"/>
      </w:pPr>
      <w:r w:rsidRPr="00BF2062">
        <w:rPr>
          <w:rFonts w:cs="Calibri"/>
        </w:rPr>
        <w:t>Bonne maitrise de l’arabe et du français ; bonne connaissance de l’anglais professionnel.</w:t>
      </w:r>
    </w:p>
    <w:p w:rsidR="008B04A7" w:rsidRPr="00E6674D" w:rsidRDefault="008B04A7" w:rsidP="00E6674D">
      <w:pPr>
        <w:pStyle w:val="Paragraphedeliste"/>
        <w:numPr>
          <w:ilvl w:val="0"/>
          <w:numId w:val="13"/>
        </w:numPr>
        <w:tabs>
          <w:tab w:val="left" w:pos="284"/>
        </w:tabs>
        <w:spacing w:after="120" w:line="360" w:lineRule="auto"/>
        <w:jc w:val="both"/>
        <w:rPr>
          <w:rFonts w:eastAsia="Calibri" w:cstheme="minorHAnsi"/>
          <w:b/>
          <w:u w:val="single"/>
        </w:rPr>
      </w:pPr>
      <w:r w:rsidRPr="00E6674D">
        <w:rPr>
          <w:rFonts w:eastAsia="Calibri" w:cstheme="minorHAnsi"/>
          <w:b/>
          <w:u w:val="single"/>
        </w:rPr>
        <w:t xml:space="preserve">Méthode et critères de sélection </w:t>
      </w:r>
    </w:p>
    <w:p w:rsidR="008B04A7" w:rsidRPr="005B173D" w:rsidRDefault="008B04A7" w:rsidP="008B04A7">
      <w:pPr>
        <w:spacing w:after="120" w:line="360" w:lineRule="auto"/>
        <w:jc w:val="both"/>
        <w:rPr>
          <w:rFonts w:eastAsiaTheme="minorEastAsia" w:cstheme="minorHAnsi"/>
          <w:b/>
          <w:bCs/>
          <w:lang w:eastAsia="fr-FR"/>
        </w:rPr>
      </w:pPr>
      <w:r w:rsidRPr="005B173D">
        <w:rPr>
          <w:rFonts w:eastAsiaTheme="minorEastAsia" w:cstheme="minorHAnsi"/>
          <w:b/>
          <w:bCs/>
          <w:lang w:eastAsia="fr-FR"/>
        </w:rPr>
        <w:t xml:space="preserve">9.1. Méthode de sélection : </w:t>
      </w:r>
    </w:p>
    <w:p w:rsidR="008B04A7" w:rsidRPr="005B173D" w:rsidRDefault="008B04A7" w:rsidP="008B04A7">
      <w:pPr>
        <w:spacing w:after="120" w:line="360" w:lineRule="auto"/>
        <w:jc w:val="both"/>
        <w:rPr>
          <w:rFonts w:cstheme="minorHAnsi"/>
          <w:bCs/>
        </w:rPr>
      </w:pPr>
      <w:bookmarkStart w:id="0" w:name="_Hlk497385751"/>
      <w:r w:rsidRPr="00C56C91">
        <w:rPr>
          <w:rFonts w:cstheme="minorHAnsi"/>
        </w:rPr>
        <w:t xml:space="preserve">La sélection </w:t>
      </w:r>
      <w:r w:rsidRPr="00C56C91">
        <w:rPr>
          <w:rFonts w:cstheme="minorHAnsi"/>
          <w:bCs/>
        </w:rPr>
        <w:t>suivra la méthode de sélection</w:t>
      </w:r>
      <w:r w:rsidRPr="00C56C91">
        <w:rPr>
          <w:rFonts w:cstheme="minorHAnsi"/>
        </w:rPr>
        <w:t xml:space="preserve"> des </w:t>
      </w:r>
      <w:r w:rsidRPr="00C56C91">
        <w:rPr>
          <w:rFonts w:cstheme="minorHAnsi"/>
          <w:b/>
          <w:bCs/>
        </w:rPr>
        <w:t>C</w:t>
      </w:r>
      <w:r w:rsidRPr="00C56C91">
        <w:rPr>
          <w:rFonts w:cstheme="minorHAnsi"/>
        </w:rPr>
        <w:t xml:space="preserve">onsultants </w:t>
      </w:r>
      <w:r w:rsidRPr="00C56C91">
        <w:rPr>
          <w:rFonts w:cstheme="minorHAnsi"/>
          <w:b/>
          <w:bCs/>
        </w:rPr>
        <w:t>I</w:t>
      </w:r>
      <w:r w:rsidRPr="00C56C91">
        <w:rPr>
          <w:rFonts w:cstheme="minorHAnsi"/>
        </w:rPr>
        <w:t xml:space="preserve">ndividuels (CI) </w:t>
      </w:r>
      <w:r w:rsidRPr="00C56C91">
        <w:rPr>
          <w:rFonts w:cstheme="minorHAnsi"/>
          <w:bCs/>
        </w:rPr>
        <w:t>des directives de sélection et emploi de consultants par les emprunteurs de la Banque Mondiale dans le cadre des prêts de la BIRD et des crédits et dons de l’AID (janvier 2011, révision juillet 2014).</w:t>
      </w:r>
    </w:p>
    <w:bookmarkEnd w:id="0"/>
    <w:p w:rsidR="008B04A7" w:rsidRPr="00F207EC" w:rsidRDefault="008B04A7" w:rsidP="008B04A7">
      <w:pPr>
        <w:widowControl w:val="0"/>
        <w:autoSpaceDE w:val="0"/>
        <w:autoSpaceDN w:val="0"/>
        <w:adjustRightInd w:val="0"/>
        <w:spacing w:after="120" w:line="360" w:lineRule="auto"/>
        <w:ind w:right="24"/>
        <w:jc w:val="both"/>
        <w:rPr>
          <w:rFonts w:eastAsiaTheme="minorEastAsia" w:cstheme="minorHAnsi"/>
          <w:lang w:eastAsia="fr-FR"/>
        </w:rPr>
      </w:pPr>
      <w:r w:rsidRPr="00F207EC">
        <w:rPr>
          <w:rFonts w:eastAsiaTheme="minorEastAsia" w:cstheme="minorHAnsi"/>
          <w:lang w:eastAsia="fr-FR"/>
        </w:rPr>
        <w:t xml:space="preserve">Les fonctionnaires et autres agents de l’administration publique peuvent soumettre une candidature mais ne </w:t>
      </w:r>
      <w:r w:rsidRPr="00F207EC">
        <w:rPr>
          <w:rFonts w:eastAsiaTheme="minorEastAsia" w:cstheme="minorHAnsi"/>
          <w:lang w:eastAsia="fr-FR"/>
        </w:rPr>
        <w:lastRenderedPageBreak/>
        <w:t xml:space="preserve">pourront être recrutés en tant que fonctionnaire sous contrat financé par la Banque Mondiale. Au cas où un agent serait sélectionné, une autorisation de mise à disposition devra être impérativement donnée par son administration d'origine ou devra démissionner de la fonction publique pour pouvoir bénéficier </w:t>
      </w:r>
      <w:r w:rsidRPr="00C56C91">
        <w:rPr>
          <w:rFonts w:eastAsiaTheme="minorEastAsia" w:cstheme="minorHAnsi"/>
          <w:lang w:eastAsia="fr-FR"/>
        </w:rPr>
        <w:t>des honoraires</w:t>
      </w:r>
      <w:r>
        <w:rPr>
          <w:rFonts w:eastAsiaTheme="minorEastAsia" w:cstheme="minorHAnsi"/>
          <w:lang w:eastAsia="fr-FR"/>
        </w:rPr>
        <w:t xml:space="preserve"> </w:t>
      </w:r>
      <w:r w:rsidRPr="00F207EC">
        <w:rPr>
          <w:rFonts w:eastAsiaTheme="minorEastAsia" w:cstheme="minorHAnsi"/>
          <w:lang w:eastAsia="fr-FR"/>
        </w:rPr>
        <w:t>de l'U</w:t>
      </w:r>
      <w:r>
        <w:rPr>
          <w:rFonts w:eastAsiaTheme="minorEastAsia" w:cstheme="minorHAnsi"/>
          <w:lang w:eastAsia="fr-FR"/>
        </w:rPr>
        <w:t>.</w:t>
      </w:r>
      <w:r w:rsidRPr="00F207EC">
        <w:rPr>
          <w:rFonts w:eastAsiaTheme="minorEastAsia" w:cstheme="minorHAnsi"/>
          <w:lang w:eastAsia="fr-FR"/>
        </w:rPr>
        <w:t>G</w:t>
      </w:r>
      <w:r>
        <w:rPr>
          <w:rFonts w:eastAsiaTheme="minorEastAsia" w:cstheme="minorHAnsi"/>
          <w:lang w:eastAsia="fr-FR"/>
        </w:rPr>
        <w:t>.</w:t>
      </w:r>
      <w:r w:rsidRPr="00F207EC">
        <w:rPr>
          <w:rFonts w:eastAsiaTheme="minorEastAsia" w:cstheme="minorHAnsi"/>
          <w:lang w:eastAsia="fr-FR"/>
        </w:rPr>
        <w:t>P.</w:t>
      </w:r>
    </w:p>
    <w:p w:rsidR="008B04A7" w:rsidRPr="007A2988" w:rsidRDefault="008B04A7" w:rsidP="008B04A7">
      <w:pPr>
        <w:spacing w:line="360" w:lineRule="auto"/>
        <w:jc w:val="both"/>
        <w:rPr>
          <w:rFonts w:eastAsiaTheme="minorEastAsia" w:cstheme="minorHAnsi"/>
          <w:b/>
          <w:bCs/>
          <w:lang w:eastAsia="fr-FR"/>
        </w:rPr>
      </w:pPr>
      <w:r w:rsidRPr="007A2988">
        <w:rPr>
          <w:rFonts w:eastAsiaTheme="minorEastAsia" w:cstheme="minorHAnsi"/>
          <w:b/>
          <w:bCs/>
          <w:lang w:eastAsia="fr-FR"/>
        </w:rPr>
        <w:t>9.2. Critères d’évaluation :</w:t>
      </w:r>
    </w:p>
    <w:p w:rsidR="008B04A7" w:rsidRPr="007A2988" w:rsidRDefault="008B04A7" w:rsidP="008B04A7">
      <w:pPr>
        <w:autoSpaceDE w:val="0"/>
        <w:autoSpaceDN w:val="0"/>
        <w:adjustRightInd w:val="0"/>
        <w:spacing w:line="360" w:lineRule="auto"/>
        <w:jc w:val="both"/>
        <w:rPr>
          <w:rFonts w:cstheme="minorHAnsi"/>
        </w:rPr>
      </w:pPr>
      <w:r w:rsidRPr="007A2988">
        <w:rPr>
          <w:rFonts w:cstheme="minorHAnsi"/>
        </w:rPr>
        <w:t>La sélection sera faite sur la base des critères suivants :</w:t>
      </w:r>
    </w:p>
    <w:p w:rsidR="008B04A7" w:rsidRPr="007A2988" w:rsidRDefault="008B04A7" w:rsidP="005A052B">
      <w:pPr>
        <w:widowControl w:val="0"/>
        <w:numPr>
          <w:ilvl w:val="0"/>
          <w:numId w:val="33"/>
        </w:numPr>
        <w:autoSpaceDE w:val="0"/>
        <w:autoSpaceDN w:val="0"/>
        <w:adjustRightInd w:val="0"/>
        <w:spacing w:after="0" w:line="360" w:lineRule="auto"/>
        <w:ind w:right="24"/>
        <w:jc w:val="both"/>
        <w:rPr>
          <w:rFonts w:eastAsiaTheme="minorEastAsia" w:cstheme="minorHAnsi"/>
          <w:lang w:eastAsia="fr-FR"/>
        </w:rPr>
      </w:pPr>
      <w:r w:rsidRPr="007A2988">
        <w:rPr>
          <w:rFonts w:eastAsiaTheme="minorEastAsia" w:cstheme="minorHAnsi"/>
          <w:lang w:eastAsia="fr-FR"/>
        </w:rPr>
        <w:t>Qualité des études supérieures.</w:t>
      </w:r>
    </w:p>
    <w:p w:rsidR="008B04A7" w:rsidRPr="007A2988" w:rsidRDefault="008B04A7" w:rsidP="005A052B">
      <w:pPr>
        <w:widowControl w:val="0"/>
        <w:numPr>
          <w:ilvl w:val="0"/>
          <w:numId w:val="33"/>
        </w:numPr>
        <w:autoSpaceDE w:val="0"/>
        <w:autoSpaceDN w:val="0"/>
        <w:adjustRightInd w:val="0"/>
        <w:spacing w:after="120" w:line="360" w:lineRule="auto"/>
        <w:ind w:right="24"/>
        <w:jc w:val="both"/>
        <w:rPr>
          <w:rFonts w:eastAsiaTheme="minorEastAsia" w:cstheme="minorHAnsi"/>
          <w:lang w:eastAsia="fr-FR"/>
        </w:rPr>
      </w:pPr>
      <w:r w:rsidRPr="007A2988">
        <w:rPr>
          <w:rFonts w:eastAsiaTheme="minorEastAsia" w:cstheme="minorHAnsi"/>
          <w:lang w:eastAsia="fr-FR"/>
        </w:rPr>
        <w:t>Qualité de l’expérience professionnelle.</w:t>
      </w:r>
    </w:p>
    <w:p w:rsidR="008B04A7" w:rsidRPr="00E6674D" w:rsidRDefault="008B04A7" w:rsidP="00E6674D">
      <w:pPr>
        <w:pStyle w:val="Paragraphedeliste"/>
        <w:numPr>
          <w:ilvl w:val="0"/>
          <w:numId w:val="13"/>
        </w:numPr>
        <w:tabs>
          <w:tab w:val="left" w:pos="426"/>
        </w:tabs>
        <w:spacing w:after="120" w:line="360" w:lineRule="auto"/>
        <w:jc w:val="both"/>
        <w:rPr>
          <w:rFonts w:eastAsia="Calibri" w:cstheme="minorHAnsi"/>
          <w:b/>
          <w:u w:val="single"/>
        </w:rPr>
      </w:pPr>
      <w:r w:rsidRPr="00E6674D">
        <w:rPr>
          <w:rFonts w:eastAsia="Calibri" w:cstheme="minorHAnsi"/>
          <w:b/>
          <w:u w:val="single"/>
        </w:rPr>
        <w:t xml:space="preserve">Procédure d’application </w:t>
      </w:r>
    </w:p>
    <w:p w:rsidR="00A10ACC" w:rsidRDefault="00A10ACC" w:rsidP="00583853">
      <w:pPr>
        <w:pStyle w:val="NormalWeb"/>
        <w:spacing w:line="360" w:lineRule="auto"/>
        <w:jc w:val="both"/>
        <w:rPr>
          <w:rFonts w:asciiTheme="minorHAnsi" w:eastAsiaTheme="minorEastAsia" w:hAnsiTheme="minorHAnsi" w:cstheme="minorHAnsi"/>
          <w:sz w:val="22"/>
          <w:szCs w:val="22"/>
        </w:rPr>
      </w:pPr>
      <w:bookmarkStart w:id="1" w:name="_Hlk497385783"/>
      <w:r w:rsidRPr="00A10ACC">
        <w:rPr>
          <w:rFonts w:asciiTheme="minorHAnsi" w:eastAsiaTheme="minorEastAsia" w:hAnsiTheme="minorHAnsi" w:cstheme="minorHAnsi"/>
          <w:sz w:val="22"/>
          <w:szCs w:val="22"/>
        </w:rPr>
        <w:t xml:space="preserve">Les manifestations d’intérêt doivent être envoyées par voie électronique à l’adresse électronique suivante : t.elabed@tasdirplus.com au plus tard le </w:t>
      </w:r>
      <w:r w:rsidRPr="00A10ACC">
        <w:rPr>
          <w:rFonts w:asciiTheme="minorHAnsi" w:eastAsiaTheme="minorEastAsia" w:hAnsiTheme="minorHAnsi" w:cstheme="minorHAnsi"/>
          <w:b/>
          <w:bCs/>
          <w:sz w:val="22"/>
          <w:szCs w:val="22"/>
        </w:rPr>
        <w:t>27/04/2018 avant 10h0</w:t>
      </w:r>
      <w:r>
        <w:rPr>
          <w:rFonts w:asciiTheme="minorHAnsi" w:eastAsiaTheme="minorEastAsia" w:hAnsiTheme="minorHAnsi" w:cstheme="minorHAnsi"/>
          <w:b/>
          <w:bCs/>
          <w:sz w:val="22"/>
          <w:szCs w:val="22"/>
        </w:rPr>
        <w:t>0</w:t>
      </w:r>
      <w:r w:rsidRPr="00A10ACC">
        <w:rPr>
          <w:rFonts w:asciiTheme="minorHAnsi" w:eastAsiaTheme="minorEastAsia" w:hAnsiTheme="minorHAnsi" w:cstheme="minorHAnsi"/>
          <w:sz w:val="22"/>
          <w:szCs w:val="22"/>
        </w:rPr>
        <w:t>. Les emails envoyés auront pour objet : Candidature pour le poste d’un Expert en développement des Exportations ».</w:t>
      </w:r>
    </w:p>
    <w:p w:rsidR="008B04A7" w:rsidRPr="007A2988" w:rsidRDefault="008B04A7" w:rsidP="00583853">
      <w:pPr>
        <w:pStyle w:val="NormalWeb"/>
        <w:spacing w:line="360" w:lineRule="auto"/>
        <w:jc w:val="both"/>
        <w:rPr>
          <w:rFonts w:asciiTheme="minorHAnsi" w:eastAsiaTheme="minorEastAsia" w:hAnsiTheme="minorHAnsi" w:cstheme="minorHAnsi"/>
          <w:sz w:val="22"/>
          <w:szCs w:val="22"/>
        </w:rPr>
      </w:pPr>
      <w:r w:rsidRPr="00583853">
        <w:rPr>
          <w:rFonts w:asciiTheme="minorHAnsi" w:eastAsiaTheme="minorEastAsia" w:hAnsiTheme="minorHAnsi" w:cstheme="minorHAnsi"/>
          <w:sz w:val="22"/>
          <w:szCs w:val="22"/>
          <w:highlight w:val="yellow"/>
        </w:rPr>
        <w:t xml:space="preserve"> Les dossiers de candidature doivent comporter cette mention sur l'enveloppe extérieure :</w:t>
      </w:r>
    </w:p>
    <w:bookmarkEnd w:id="1"/>
    <w:p w:rsidR="00A10ACC" w:rsidRPr="00283762" w:rsidRDefault="00A10ACC" w:rsidP="00A10ACC">
      <w:pPr>
        <w:jc w:val="both"/>
        <w:rPr>
          <w:rFonts w:eastAsiaTheme="minorEastAsia" w:cstheme="minorHAnsi"/>
          <w:lang w:eastAsia="fr-FR"/>
        </w:rPr>
      </w:pPr>
      <w:r w:rsidRPr="00283762">
        <w:rPr>
          <w:rFonts w:eastAsiaTheme="minorEastAsia" w:cstheme="minorHAnsi"/>
          <w:lang w:eastAsia="fr-FR"/>
        </w:rPr>
        <w:t>Le dossier de candidature doit comporter les documents suivants :</w:t>
      </w:r>
    </w:p>
    <w:p w:rsidR="00A10ACC" w:rsidRPr="00283762" w:rsidRDefault="00A10ACC" w:rsidP="00A10ACC">
      <w:pPr>
        <w:numPr>
          <w:ilvl w:val="0"/>
          <w:numId w:val="2"/>
        </w:numPr>
        <w:tabs>
          <w:tab w:val="left" w:pos="851"/>
        </w:tabs>
        <w:spacing w:after="0" w:line="240" w:lineRule="auto"/>
        <w:ind w:left="709" w:hanging="142"/>
        <w:jc w:val="both"/>
        <w:rPr>
          <w:rFonts w:eastAsia="Calibri" w:cstheme="minorHAnsi"/>
          <w:bCs/>
        </w:rPr>
      </w:pPr>
      <w:r w:rsidRPr="00283762">
        <w:rPr>
          <w:rFonts w:eastAsia="Calibri" w:cstheme="minorHAnsi"/>
          <w:bCs/>
        </w:rPr>
        <w:t xml:space="preserve">Une lettre de motivation </w:t>
      </w:r>
      <w:r w:rsidRPr="00283762">
        <w:rPr>
          <w:rFonts w:eastAsia="Calibri" w:cstheme="minorHAnsi"/>
          <w:bCs/>
          <w:u w:val="single"/>
        </w:rPr>
        <w:t>signée</w:t>
      </w:r>
      <w:r w:rsidRPr="00283762">
        <w:rPr>
          <w:rFonts w:eastAsia="Calibri" w:cstheme="minorHAnsi"/>
          <w:bCs/>
        </w:rPr>
        <w:t xml:space="preserve"> (ne dépassant pas 2 pages).</w:t>
      </w:r>
    </w:p>
    <w:p w:rsidR="00A10ACC" w:rsidRPr="00283762" w:rsidRDefault="00A10ACC" w:rsidP="00A10ACC">
      <w:pPr>
        <w:numPr>
          <w:ilvl w:val="0"/>
          <w:numId w:val="2"/>
        </w:numPr>
        <w:tabs>
          <w:tab w:val="left" w:pos="851"/>
        </w:tabs>
        <w:spacing w:after="0" w:line="240" w:lineRule="auto"/>
        <w:ind w:left="709" w:hanging="142"/>
        <w:jc w:val="both"/>
        <w:rPr>
          <w:rFonts w:eastAsia="Calibri" w:cstheme="minorHAnsi"/>
          <w:bCs/>
        </w:rPr>
      </w:pPr>
      <w:r w:rsidRPr="00283762">
        <w:rPr>
          <w:rFonts w:eastAsia="Calibri" w:cstheme="minorHAnsi"/>
          <w:bCs/>
        </w:rPr>
        <w:t>Un curriculum vitae détaillé avec photo récente (ce CV doit comporter la date de début et de fin de chaque expérience professionnelle).</w:t>
      </w:r>
    </w:p>
    <w:p w:rsidR="00A10ACC" w:rsidRPr="00283762" w:rsidRDefault="00A10ACC" w:rsidP="00A10ACC">
      <w:pPr>
        <w:numPr>
          <w:ilvl w:val="0"/>
          <w:numId w:val="2"/>
        </w:numPr>
        <w:tabs>
          <w:tab w:val="left" w:pos="851"/>
        </w:tabs>
        <w:spacing w:after="0" w:line="240" w:lineRule="auto"/>
        <w:ind w:left="709" w:hanging="142"/>
        <w:jc w:val="both"/>
        <w:rPr>
          <w:rFonts w:eastAsia="Calibri" w:cstheme="minorHAnsi"/>
          <w:bCs/>
        </w:rPr>
      </w:pPr>
      <w:r w:rsidRPr="00283762">
        <w:rPr>
          <w:rFonts w:eastAsia="Calibri" w:cstheme="minorHAnsi"/>
          <w:bCs/>
        </w:rPr>
        <w:t>Une copie des diplômes universitaires.</w:t>
      </w:r>
    </w:p>
    <w:p w:rsidR="00A10ACC" w:rsidRPr="00283762" w:rsidRDefault="00A10ACC" w:rsidP="00A10ACC">
      <w:pPr>
        <w:numPr>
          <w:ilvl w:val="0"/>
          <w:numId w:val="2"/>
        </w:numPr>
        <w:tabs>
          <w:tab w:val="left" w:pos="851"/>
        </w:tabs>
        <w:spacing w:after="0" w:line="240" w:lineRule="auto"/>
        <w:ind w:left="709" w:hanging="142"/>
        <w:jc w:val="both"/>
        <w:rPr>
          <w:rFonts w:eastAsia="Calibri" w:cstheme="minorHAnsi"/>
          <w:bCs/>
        </w:rPr>
      </w:pPr>
      <w:r w:rsidRPr="00283762">
        <w:rPr>
          <w:rFonts w:eastAsia="Calibri" w:cstheme="minorHAnsi"/>
          <w:bCs/>
        </w:rPr>
        <w:t>Une copie des attestations</w:t>
      </w:r>
      <w:r w:rsidRPr="00283762">
        <w:rPr>
          <w:rFonts w:cstheme="minorHAnsi"/>
          <w:bCs/>
        </w:rPr>
        <w:t xml:space="preserve"> ainsi que tout autre document attestant la</w:t>
      </w:r>
      <w:r w:rsidRPr="00283762">
        <w:rPr>
          <w:rFonts w:cstheme="minorHAnsi"/>
        </w:rPr>
        <w:t xml:space="preserve"> qualification pour la mission</w:t>
      </w:r>
      <w:r w:rsidRPr="00283762">
        <w:rPr>
          <w:rFonts w:eastAsia="Calibri" w:cstheme="minorHAnsi"/>
          <w:bCs/>
        </w:rPr>
        <w:t>.</w:t>
      </w:r>
    </w:p>
    <w:p w:rsidR="008B04A7" w:rsidRDefault="008B04A7" w:rsidP="008B04A7">
      <w:pPr>
        <w:tabs>
          <w:tab w:val="left" w:pos="851"/>
        </w:tabs>
        <w:spacing w:after="120" w:line="360" w:lineRule="auto"/>
        <w:jc w:val="both"/>
        <w:rPr>
          <w:rFonts w:eastAsia="Calibri" w:cstheme="minorHAnsi"/>
          <w:bCs/>
        </w:rPr>
      </w:pPr>
      <w:bookmarkStart w:id="2" w:name="_GoBack"/>
      <w:bookmarkEnd w:id="2"/>
    </w:p>
    <w:p w:rsidR="005A052B" w:rsidRDefault="005A052B" w:rsidP="008B04A7">
      <w:pPr>
        <w:tabs>
          <w:tab w:val="left" w:pos="851"/>
        </w:tabs>
        <w:spacing w:after="120" w:line="360" w:lineRule="auto"/>
        <w:jc w:val="both"/>
        <w:rPr>
          <w:rFonts w:eastAsia="Calibri" w:cstheme="minorHAnsi"/>
          <w:bCs/>
        </w:rPr>
      </w:pPr>
    </w:p>
    <w:p w:rsidR="005A052B" w:rsidRDefault="005A052B" w:rsidP="008B04A7">
      <w:pPr>
        <w:tabs>
          <w:tab w:val="left" w:pos="851"/>
        </w:tabs>
        <w:spacing w:after="120" w:line="360" w:lineRule="auto"/>
        <w:jc w:val="both"/>
        <w:rPr>
          <w:rFonts w:eastAsia="Calibri" w:cstheme="minorHAnsi"/>
          <w:bCs/>
        </w:rPr>
      </w:pPr>
    </w:p>
    <w:p w:rsidR="005A052B" w:rsidRDefault="005A052B" w:rsidP="008B04A7">
      <w:pPr>
        <w:tabs>
          <w:tab w:val="left" w:pos="851"/>
        </w:tabs>
        <w:spacing w:after="120" w:line="360" w:lineRule="auto"/>
        <w:jc w:val="both"/>
        <w:rPr>
          <w:rFonts w:eastAsia="Calibri" w:cstheme="minorHAnsi"/>
          <w:bCs/>
        </w:rPr>
      </w:pPr>
    </w:p>
    <w:p w:rsidR="005A052B" w:rsidRDefault="005A052B" w:rsidP="008B04A7">
      <w:pPr>
        <w:tabs>
          <w:tab w:val="left" w:pos="851"/>
        </w:tabs>
        <w:spacing w:after="120" w:line="360" w:lineRule="auto"/>
        <w:jc w:val="both"/>
        <w:rPr>
          <w:rFonts w:eastAsia="Calibri" w:cstheme="minorHAnsi"/>
          <w:bCs/>
        </w:rPr>
      </w:pPr>
    </w:p>
    <w:p w:rsidR="00E6674D" w:rsidRDefault="00E6674D" w:rsidP="008B04A7">
      <w:pPr>
        <w:tabs>
          <w:tab w:val="left" w:pos="851"/>
        </w:tabs>
        <w:spacing w:after="120" w:line="360" w:lineRule="auto"/>
        <w:jc w:val="both"/>
        <w:rPr>
          <w:rFonts w:eastAsia="Calibri" w:cstheme="minorHAnsi"/>
          <w:bCs/>
        </w:rPr>
      </w:pPr>
    </w:p>
    <w:p w:rsidR="00E6674D" w:rsidRDefault="00E6674D" w:rsidP="008B04A7">
      <w:pPr>
        <w:tabs>
          <w:tab w:val="left" w:pos="851"/>
        </w:tabs>
        <w:spacing w:after="120" w:line="360" w:lineRule="auto"/>
        <w:jc w:val="both"/>
        <w:rPr>
          <w:rFonts w:eastAsia="Calibri" w:cstheme="minorHAnsi"/>
          <w:bCs/>
        </w:rPr>
      </w:pPr>
    </w:p>
    <w:p w:rsidR="00E6674D" w:rsidRDefault="00E6674D" w:rsidP="008B04A7">
      <w:pPr>
        <w:tabs>
          <w:tab w:val="left" w:pos="851"/>
        </w:tabs>
        <w:spacing w:after="120" w:line="360" w:lineRule="auto"/>
        <w:jc w:val="both"/>
        <w:rPr>
          <w:rFonts w:eastAsia="Calibri" w:cstheme="minorHAnsi"/>
          <w:bCs/>
        </w:rPr>
      </w:pPr>
    </w:p>
    <w:p w:rsidR="008B04A7" w:rsidRDefault="008B04A7" w:rsidP="008B04A7">
      <w:pPr>
        <w:tabs>
          <w:tab w:val="left" w:pos="851"/>
        </w:tabs>
        <w:spacing w:after="120" w:line="360" w:lineRule="auto"/>
        <w:jc w:val="both"/>
        <w:rPr>
          <w:rFonts w:eastAsia="Calibri" w:cstheme="minorHAnsi"/>
          <w:bCs/>
        </w:rPr>
      </w:pPr>
    </w:p>
    <w:p w:rsidR="008B04A7" w:rsidRDefault="008B04A7" w:rsidP="008B04A7">
      <w:pPr>
        <w:tabs>
          <w:tab w:val="left" w:pos="851"/>
        </w:tabs>
        <w:spacing w:after="120" w:line="360" w:lineRule="auto"/>
        <w:jc w:val="both"/>
        <w:rPr>
          <w:rFonts w:eastAsia="Calibri" w:cstheme="minorHAnsi"/>
          <w:bCs/>
        </w:rPr>
      </w:pPr>
    </w:p>
    <w:p w:rsidR="008B04A7" w:rsidRPr="00797467" w:rsidRDefault="008B04A7" w:rsidP="008B04A7">
      <w:pPr>
        <w:widowControl w:val="0"/>
        <w:autoSpaceDE w:val="0"/>
        <w:autoSpaceDN w:val="0"/>
        <w:adjustRightInd w:val="0"/>
        <w:spacing w:line="240" w:lineRule="auto"/>
        <w:ind w:left="3020"/>
      </w:pPr>
      <w:r w:rsidRPr="00797467">
        <w:rPr>
          <w:rFonts w:ascii="Calibri" w:hAnsi="Calibri" w:cs="Calibri"/>
          <w:b/>
          <w:bCs/>
        </w:rPr>
        <w:lastRenderedPageBreak/>
        <w:t>Centre de Promotion des Exportations</w:t>
      </w:r>
    </w:p>
    <w:p w:rsidR="008B04A7" w:rsidRPr="00797467" w:rsidRDefault="008B04A7" w:rsidP="008B04A7">
      <w:pPr>
        <w:widowControl w:val="0"/>
        <w:autoSpaceDE w:val="0"/>
        <w:autoSpaceDN w:val="0"/>
        <w:adjustRightInd w:val="0"/>
        <w:spacing w:line="240" w:lineRule="auto"/>
        <w:ind w:left="1340"/>
      </w:pPr>
      <w:r w:rsidRPr="00797467">
        <w:rPr>
          <w:rFonts w:ascii="Calibri" w:hAnsi="Calibri" w:cs="Calibri"/>
          <w:b/>
          <w:bCs/>
        </w:rPr>
        <w:t>Fonds d’Appui à la Compétitivité et au Développement des Exportations</w:t>
      </w:r>
    </w:p>
    <w:p w:rsidR="008B04A7" w:rsidRPr="00797467" w:rsidRDefault="008B04A7" w:rsidP="008B04A7">
      <w:pPr>
        <w:widowControl w:val="0"/>
        <w:autoSpaceDE w:val="0"/>
        <w:autoSpaceDN w:val="0"/>
        <w:adjustRightInd w:val="0"/>
        <w:spacing w:line="240" w:lineRule="auto"/>
        <w:ind w:left="4500"/>
      </w:pP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r>
        <w:rPr>
          <w:rFonts w:ascii="Wingdings" w:hAnsi="Wingdings" w:cs="Wingdings"/>
          <w:sz w:val="20"/>
          <w:szCs w:val="20"/>
        </w:rPr>
        <w:t></w:t>
      </w:r>
    </w:p>
    <w:p w:rsidR="008B04A7" w:rsidRPr="00797467" w:rsidRDefault="008B04A7" w:rsidP="008B04A7">
      <w:pPr>
        <w:widowControl w:val="0"/>
        <w:autoSpaceDE w:val="0"/>
        <w:autoSpaceDN w:val="0"/>
        <w:adjustRightInd w:val="0"/>
        <w:spacing w:line="240" w:lineRule="auto"/>
        <w:ind w:left="880"/>
      </w:pPr>
      <w:r w:rsidRPr="00797467">
        <w:rPr>
          <w:rFonts w:ascii="Calibri" w:hAnsi="Calibri" w:cs="Calibri"/>
          <w:b/>
          <w:bCs/>
        </w:rPr>
        <w:t>Appel à candidature pour la</w:t>
      </w:r>
      <w:r>
        <w:rPr>
          <w:rFonts w:ascii="Calibri" w:hAnsi="Calibri" w:cs="Calibri"/>
          <w:b/>
          <w:bCs/>
        </w:rPr>
        <w:t xml:space="preserve"> sélection et l’emploi d’expert </w:t>
      </w:r>
      <w:r w:rsidRPr="00797467">
        <w:rPr>
          <w:rFonts w:ascii="Calibri" w:hAnsi="Calibri" w:cs="Calibri"/>
          <w:b/>
          <w:bCs/>
        </w:rPr>
        <w:t>en exportation</w:t>
      </w:r>
    </w:p>
    <w:p w:rsidR="008B04A7" w:rsidRPr="00797467" w:rsidRDefault="008B04A7" w:rsidP="008B04A7">
      <w:pPr>
        <w:widowControl w:val="0"/>
        <w:autoSpaceDE w:val="0"/>
        <w:autoSpaceDN w:val="0"/>
        <w:adjustRightInd w:val="0"/>
        <w:spacing w:line="240" w:lineRule="auto"/>
        <w:ind w:left="4400"/>
      </w:pPr>
      <w:r w:rsidRPr="00797467">
        <w:rPr>
          <w:rFonts w:ascii="Calibri" w:hAnsi="Calibri" w:cs="Calibri"/>
          <w:b/>
          <w:bCs/>
          <w:u w:val="single"/>
        </w:rPr>
        <w:t>Annexe 01</w:t>
      </w:r>
    </w:p>
    <w:p w:rsidR="008B04A7" w:rsidRPr="00797467" w:rsidRDefault="008B04A7" w:rsidP="008B04A7">
      <w:pPr>
        <w:widowControl w:val="0"/>
        <w:autoSpaceDE w:val="0"/>
        <w:autoSpaceDN w:val="0"/>
        <w:adjustRightInd w:val="0"/>
        <w:spacing w:line="240" w:lineRule="auto"/>
        <w:ind w:left="2180"/>
      </w:pPr>
      <w:r w:rsidRPr="00797467">
        <w:rPr>
          <w:rFonts w:ascii="Calibri" w:hAnsi="Calibri" w:cs="Calibri"/>
          <w:b/>
          <w:bCs/>
          <w:u w:val="single"/>
        </w:rPr>
        <w:t>Tableau des références professionnelles du candidat(e)</w:t>
      </w:r>
    </w:p>
    <w:p w:rsidR="008B04A7" w:rsidRPr="00797467" w:rsidRDefault="008B04A7" w:rsidP="008B04A7">
      <w:pPr>
        <w:widowControl w:val="0"/>
        <w:autoSpaceDE w:val="0"/>
        <w:autoSpaceDN w:val="0"/>
        <w:adjustRightInd w:val="0"/>
        <w:spacing w:line="41" w:lineRule="exact"/>
      </w:pPr>
    </w:p>
    <w:p w:rsidR="008B04A7" w:rsidRPr="00797467" w:rsidRDefault="008B04A7" w:rsidP="008B04A7">
      <w:pPr>
        <w:widowControl w:val="0"/>
        <w:autoSpaceDE w:val="0"/>
        <w:autoSpaceDN w:val="0"/>
        <w:adjustRightInd w:val="0"/>
        <w:spacing w:line="239" w:lineRule="auto"/>
        <w:ind w:left="3400"/>
      </w:pPr>
      <w:r w:rsidRPr="00797467">
        <w:rPr>
          <w:rFonts w:ascii="Calibri" w:hAnsi="Calibri" w:cs="Calibri"/>
          <w:sz w:val="20"/>
          <w:szCs w:val="20"/>
        </w:rPr>
        <w:t>(Se limiter à 5 références pertinentes)</w:t>
      </w:r>
    </w:p>
    <w:p w:rsidR="008B04A7" w:rsidRPr="00797467" w:rsidRDefault="008B04A7" w:rsidP="008B04A7">
      <w:pPr>
        <w:widowControl w:val="0"/>
        <w:autoSpaceDE w:val="0"/>
        <w:autoSpaceDN w:val="0"/>
        <w:adjustRightInd w:val="0"/>
        <w:spacing w:line="269" w:lineRule="exact"/>
      </w:pPr>
    </w:p>
    <w:tbl>
      <w:tblPr>
        <w:tblW w:w="9880" w:type="dxa"/>
        <w:tblInd w:w="10" w:type="dxa"/>
        <w:tblLayout w:type="fixed"/>
        <w:tblCellMar>
          <w:left w:w="0" w:type="dxa"/>
          <w:right w:w="0" w:type="dxa"/>
        </w:tblCellMar>
        <w:tblLook w:val="0000" w:firstRow="0" w:lastRow="0" w:firstColumn="0" w:lastColumn="0" w:noHBand="0" w:noVBand="0"/>
      </w:tblPr>
      <w:tblGrid>
        <w:gridCol w:w="2000"/>
        <w:gridCol w:w="1960"/>
        <w:gridCol w:w="2200"/>
        <w:gridCol w:w="1740"/>
        <w:gridCol w:w="1980"/>
      </w:tblGrid>
      <w:tr w:rsidR="008B04A7" w:rsidTr="008B04A7">
        <w:trPr>
          <w:trHeight w:val="446"/>
        </w:trPr>
        <w:tc>
          <w:tcPr>
            <w:tcW w:w="2000" w:type="dxa"/>
            <w:tcBorders>
              <w:top w:val="single" w:sz="8" w:space="0" w:color="auto"/>
              <w:left w:val="single" w:sz="8" w:space="0" w:color="auto"/>
              <w:bottom w:val="nil"/>
              <w:right w:val="single" w:sz="8" w:space="0" w:color="auto"/>
            </w:tcBorders>
            <w:vAlign w:val="bottom"/>
          </w:tcPr>
          <w:p w:rsidR="008B04A7" w:rsidRPr="008B04A7" w:rsidRDefault="008B04A7" w:rsidP="005B197E">
            <w:pPr>
              <w:widowControl w:val="0"/>
              <w:autoSpaceDE w:val="0"/>
              <w:autoSpaceDN w:val="0"/>
              <w:adjustRightInd w:val="0"/>
              <w:ind w:left="600"/>
              <w:rPr>
                <w:sz w:val="20"/>
                <w:szCs w:val="20"/>
              </w:rPr>
            </w:pPr>
            <w:r w:rsidRPr="008B04A7">
              <w:rPr>
                <w:rFonts w:ascii="Calibri" w:hAnsi="Calibri" w:cs="Calibri"/>
                <w:b/>
                <w:bCs/>
                <w:sz w:val="20"/>
                <w:szCs w:val="20"/>
              </w:rPr>
              <w:t>Période</w:t>
            </w:r>
            <w:r w:rsidRPr="008B04A7">
              <w:rPr>
                <w:rFonts w:ascii="Calibri" w:hAnsi="Calibri" w:cs="Calibri"/>
                <w:b/>
                <w:bCs/>
                <w:sz w:val="20"/>
                <w:szCs w:val="20"/>
                <w:vertAlign w:val="superscript"/>
              </w:rPr>
              <w:t>1</w:t>
            </w:r>
          </w:p>
        </w:tc>
        <w:tc>
          <w:tcPr>
            <w:tcW w:w="1960" w:type="dxa"/>
            <w:tcBorders>
              <w:top w:val="single" w:sz="8" w:space="0" w:color="auto"/>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67" w:lineRule="exact"/>
              <w:ind w:left="460"/>
              <w:rPr>
                <w:sz w:val="20"/>
                <w:szCs w:val="20"/>
              </w:rPr>
            </w:pPr>
            <w:r w:rsidRPr="008B04A7">
              <w:rPr>
                <w:rFonts w:ascii="Calibri" w:hAnsi="Calibri" w:cs="Calibri"/>
                <w:b/>
                <w:bCs/>
                <w:sz w:val="20"/>
                <w:szCs w:val="20"/>
              </w:rPr>
              <w:t>Employeur</w:t>
            </w:r>
          </w:p>
        </w:tc>
        <w:tc>
          <w:tcPr>
            <w:tcW w:w="2200" w:type="dxa"/>
            <w:tcBorders>
              <w:top w:val="single" w:sz="8" w:space="0" w:color="auto"/>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67" w:lineRule="exact"/>
              <w:ind w:left="720"/>
              <w:rPr>
                <w:sz w:val="20"/>
                <w:szCs w:val="20"/>
              </w:rPr>
            </w:pPr>
            <w:r w:rsidRPr="008B04A7">
              <w:rPr>
                <w:rFonts w:ascii="Calibri" w:hAnsi="Calibri" w:cs="Calibri"/>
                <w:b/>
                <w:bCs/>
                <w:sz w:val="20"/>
                <w:szCs w:val="20"/>
              </w:rPr>
              <w:t>Adresse</w:t>
            </w:r>
          </w:p>
        </w:tc>
        <w:tc>
          <w:tcPr>
            <w:tcW w:w="1740" w:type="dxa"/>
            <w:tcBorders>
              <w:top w:val="single" w:sz="8" w:space="0" w:color="auto"/>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67" w:lineRule="exact"/>
              <w:jc w:val="center"/>
              <w:rPr>
                <w:sz w:val="20"/>
                <w:szCs w:val="20"/>
              </w:rPr>
            </w:pPr>
            <w:r w:rsidRPr="008B04A7">
              <w:rPr>
                <w:rFonts w:ascii="Calibri" w:hAnsi="Calibri" w:cs="Calibri"/>
                <w:b/>
                <w:bCs/>
                <w:sz w:val="20"/>
                <w:szCs w:val="20"/>
              </w:rPr>
              <w:t>Personne</w:t>
            </w:r>
          </w:p>
        </w:tc>
        <w:tc>
          <w:tcPr>
            <w:tcW w:w="1980" w:type="dxa"/>
            <w:tcBorders>
              <w:top w:val="single" w:sz="8" w:space="0" w:color="auto"/>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67" w:lineRule="exact"/>
              <w:jc w:val="center"/>
              <w:rPr>
                <w:sz w:val="20"/>
                <w:szCs w:val="20"/>
              </w:rPr>
            </w:pPr>
            <w:r w:rsidRPr="008B04A7">
              <w:rPr>
                <w:rFonts w:ascii="Calibri" w:hAnsi="Calibri" w:cs="Calibri"/>
                <w:b/>
                <w:bCs/>
                <w:w w:val="99"/>
                <w:sz w:val="20"/>
                <w:szCs w:val="20"/>
              </w:rPr>
              <w:t>Téléphone</w:t>
            </w:r>
          </w:p>
        </w:tc>
      </w:tr>
      <w:tr w:rsidR="008B04A7" w:rsidTr="008B04A7">
        <w:trPr>
          <w:trHeight w:val="220"/>
        </w:trPr>
        <w:tc>
          <w:tcPr>
            <w:tcW w:w="2000" w:type="dxa"/>
            <w:tcBorders>
              <w:top w:val="nil"/>
              <w:left w:val="single" w:sz="8" w:space="0" w:color="auto"/>
              <w:bottom w:val="nil"/>
              <w:right w:val="single" w:sz="8" w:space="0" w:color="auto"/>
            </w:tcBorders>
            <w:vAlign w:val="bottom"/>
          </w:tcPr>
          <w:p w:rsidR="008B04A7" w:rsidRPr="008B04A7" w:rsidRDefault="008B04A7" w:rsidP="005B197E">
            <w:pPr>
              <w:widowControl w:val="0"/>
              <w:autoSpaceDE w:val="0"/>
              <w:autoSpaceDN w:val="0"/>
              <w:adjustRightInd w:val="0"/>
              <w:rPr>
                <w:sz w:val="20"/>
                <w:szCs w:val="20"/>
              </w:rPr>
            </w:pPr>
          </w:p>
        </w:tc>
        <w:tc>
          <w:tcPr>
            <w:tcW w:w="1960" w:type="dxa"/>
            <w:tcBorders>
              <w:top w:val="nil"/>
              <w:left w:val="nil"/>
              <w:bottom w:val="nil"/>
              <w:right w:val="single" w:sz="8" w:space="0" w:color="auto"/>
            </w:tcBorders>
            <w:vAlign w:val="bottom"/>
          </w:tcPr>
          <w:p w:rsidR="008B04A7" w:rsidRPr="008B04A7" w:rsidRDefault="008B04A7" w:rsidP="005B197E">
            <w:pPr>
              <w:widowControl w:val="0"/>
              <w:autoSpaceDE w:val="0"/>
              <w:autoSpaceDN w:val="0"/>
              <w:adjustRightInd w:val="0"/>
              <w:rPr>
                <w:sz w:val="20"/>
                <w:szCs w:val="20"/>
              </w:rPr>
            </w:pPr>
          </w:p>
        </w:tc>
        <w:tc>
          <w:tcPr>
            <w:tcW w:w="2200" w:type="dxa"/>
            <w:tcBorders>
              <w:top w:val="nil"/>
              <w:left w:val="nil"/>
              <w:bottom w:val="nil"/>
              <w:right w:val="single" w:sz="8" w:space="0" w:color="auto"/>
            </w:tcBorders>
            <w:vAlign w:val="bottom"/>
          </w:tcPr>
          <w:p w:rsidR="008B04A7" w:rsidRPr="008B04A7" w:rsidRDefault="008B04A7" w:rsidP="005B197E">
            <w:pPr>
              <w:widowControl w:val="0"/>
              <w:autoSpaceDE w:val="0"/>
              <w:autoSpaceDN w:val="0"/>
              <w:adjustRightInd w:val="0"/>
              <w:rPr>
                <w:sz w:val="20"/>
                <w:szCs w:val="20"/>
              </w:rPr>
            </w:pPr>
          </w:p>
        </w:tc>
        <w:tc>
          <w:tcPr>
            <w:tcW w:w="1740" w:type="dxa"/>
            <w:tcBorders>
              <w:top w:val="nil"/>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19" w:lineRule="exact"/>
              <w:jc w:val="center"/>
              <w:rPr>
                <w:sz w:val="20"/>
                <w:szCs w:val="20"/>
              </w:rPr>
            </w:pPr>
            <w:r w:rsidRPr="008B04A7">
              <w:rPr>
                <w:rFonts w:ascii="Calibri" w:hAnsi="Calibri" w:cs="Calibri"/>
                <w:b/>
                <w:bCs/>
                <w:sz w:val="20"/>
                <w:szCs w:val="20"/>
              </w:rPr>
              <w:t>à contacter</w:t>
            </w:r>
          </w:p>
        </w:tc>
        <w:tc>
          <w:tcPr>
            <w:tcW w:w="1980" w:type="dxa"/>
            <w:tcBorders>
              <w:top w:val="nil"/>
              <w:left w:val="nil"/>
              <w:bottom w:val="nil"/>
              <w:right w:val="single" w:sz="8" w:space="0" w:color="auto"/>
            </w:tcBorders>
            <w:vAlign w:val="bottom"/>
          </w:tcPr>
          <w:p w:rsidR="008B04A7" w:rsidRPr="008B04A7" w:rsidRDefault="008B04A7" w:rsidP="005B197E">
            <w:pPr>
              <w:widowControl w:val="0"/>
              <w:autoSpaceDE w:val="0"/>
              <w:autoSpaceDN w:val="0"/>
              <w:adjustRightInd w:val="0"/>
              <w:spacing w:line="219" w:lineRule="exact"/>
              <w:jc w:val="center"/>
              <w:rPr>
                <w:sz w:val="20"/>
                <w:szCs w:val="20"/>
              </w:rPr>
            </w:pPr>
            <w:r w:rsidRPr="008B04A7">
              <w:rPr>
                <w:rFonts w:ascii="Calibri" w:hAnsi="Calibri" w:cs="Calibri"/>
                <w:b/>
                <w:bCs/>
                <w:w w:val="99"/>
                <w:sz w:val="20"/>
                <w:szCs w:val="20"/>
              </w:rPr>
              <w:t>fixe / mobile</w:t>
            </w:r>
          </w:p>
        </w:tc>
      </w:tr>
      <w:tr w:rsidR="008B04A7" w:rsidTr="008B04A7">
        <w:trPr>
          <w:trHeight w:val="80"/>
        </w:trPr>
        <w:tc>
          <w:tcPr>
            <w:tcW w:w="2000" w:type="dxa"/>
            <w:tcBorders>
              <w:top w:val="nil"/>
              <w:left w:val="single" w:sz="8" w:space="0" w:color="auto"/>
              <w:bottom w:val="single" w:sz="8" w:space="0" w:color="auto"/>
              <w:right w:val="single" w:sz="8" w:space="0" w:color="auto"/>
            </w:tcBorders>
            <w:vAlign w:val="bottom"/>
          </w:tcPr>
          <w:p w:rsidR="008B04A7" w:rsidRDefault="008B04A7" w:rsidP="005B197E">
            <w:pPr>
              <w:widowControl w:val="0"/>
              <w:autoSpaceDE w:val="0"/>
              <w:autoSpaceDN w:val="0"/>
              <w:adjustRightInd w:val="0"/>
              <w:rPr>
                <w:sz w:val="6"/>
                <w:szCs w:val="6"/>
              </w:rPr>
            </w:pPr>
          </w:p>
        </w:tc>
        <w:tc>
          <w:tcPr>
            <w:tcW w:w="196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rPr>
                <w:sz w:val="6"/>
                <w:szCs w:val="6"/>
              </w:rPr>
            </w:pPr>
          </w:p>
        </w:tc>
        <w:tc>
          <w:tcPr>
            <w:tcW w:w="220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rPr>
                <w:sz w:val="6"/>
                <w:szCs w:val="6"/>
              </w:rPr>
            </w:pPr>
          </w:p>
        </w:tc>
        <w:tc>
          <w:tcPr>
            <w:tcW w:w="174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rPr>
                <w:sz w:val="6"/>
                <w:szCs w:val="6"/>
              </w:rPr>
            </w:pPr>
          </w:p>
        </w:tc>
        <w:tc>
          <w:tcPr>
            <w:tcW w:w="198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rPr>
                <w:sz w:val="6"/>
                <w:szCs w:val="6"/>
              </w:rPr>
            </w:pPr>
          </w:p>
        </w:tc>
      </w:tr>
      <w:tr w:rsidR="008B04A7" w:rsidTr="008B04A7">
        <w:trPr>
          <w:trHeight w:val="336"/>
        </w:trPr>
        <w:tc>
          <w:tcPr>
            <w:tcW w:w="2000" w:type="dxa"/>
            <w:tcBorders>
              <w:top w:val="nil"/>
              <w:left w:val="single" w:sz="8" w:space="0" w:color="auto"/>
              <w:bottom w:val="nil"/>
              <w:right w:val="single" w:sz="8" w:space="0" w:color="auto"/>
            </w:tcBorders>
            <w:vAlign w:val="bottom"/>
          </w:tcPr>
          <w:p w:rsidR="008B04A7" w:rsidRDefault="008B04A7" w:rsidP="005B197E">
            <w:pPr>
              <w:widowControl w:val="0"/>
              <w:autoSpaceDE w:val="0"/>
              <w:autoSpaceDN w:val="0"/>
              <w:adjustRightInd w:val="0"/>
            </w:pPr>
          </w:p>
        </w:tc>
        <w:tc>
          <w:tcPr>
            <w:tcW w:w="196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220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174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198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r>
      <w:tr w:rsidR="008B04A7" w:rsidTr="008B04A7">
        <w:trPr>
          <w:trHeight w:val="336"/>
        </w:trPr>
        <w:tc>
          <w:tcPr>
            <w:tcW w:w="2000" w:type="dxa"/>
            <w:tcBorders>
              <w:top w:val="nil"/>
              <w:left w:val="single" w:sz="8" w:space="0" w:color="auto"/>
              <w:bottom w:val="nil"/>
              <w:right w:val="single" w:sz="8" w:space="0" w:color="auto"/>
            </w:tcBorders>
            <w:vAlign w:val="bottom"/>
          </w:tcPr>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p w:rsidR="008B04A7" w:rsidRDefault="008B04A7" w:rsidP="005B197E">
            <w:pPr>
              <w:widowControl w:val="0"/>
              <w:autoSpaceDE w:val="0"/>
              <w:autoSpaceDN w:val="0"/>
              <w:adjustRightInd w:val="0"/>
            </w:pPr>
          </w:p>
        </w:tc>
        <w:tc>
          <w:tcPr>
            <w:tcW w:w="196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220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174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c>
          <w:tcPr>
            <w:tcW w:w="1980" w:type="dxa"/>
            <w:tcBorders>
              <w:top w:val="nil"/>
              <w:left w:val="nil"/>
              <w:bottom w:val="nil"/>
              <w:right w:val="single" w:sz="8" w:space="0" w:color="auto"/>
            </w:tcBorders>
            <w:vAlign w:val="bottom"/>
          </w:tcPr>
          <w:p w:rsidR="008B04A7" w:rsidRDefault="008B04A7" w:rsidP="005B197E">
            <w:pPr>
              <w:widowControl w:val="0"/>
              <w:autoSpaceDE w:val="0"/>
              <w:autoSpaceDN w:val="0"/>
              <w:adjustRightInd w:val="0"/>
            </w:pPr>
          </w:p>
        </w:tc>
      </w:tr>
      <w:tr w:rsidR="008B04A7" w:rsidTr="008B04A7">
        <w:trPr>
          <w:trHeight w:val="336"/>
        </w:trPr>
        <w:tc>
          <w:tcPr>
            <w:tcW w:w="2000" w:type="dxa"/>
            <w:tcBorders>
              <w:top w:val="nil"/>
              <w:left w:val="single" w:sz="8" w:space="0" w:color="auto"/>
              <w:bottom w:val="single" w:sz="8" w:space="0" w:color="auto"/>
              <w:right w:val="single" w:sz="8" w:space="0" w:color="auto"/>
            </w:tcBorders>
            <w:vAlign w:val="bottom"/>
          </w:tcPr>
          <w:p w:rsidR="008B04A7" w:rsidRDefault="008B04A7" w:rsidP="005B197E">
            <w:pPr>
              <w:widowControl w:val="0"/>
              <w:autoSpaceDE w:val="0"/>
              <w:autoSpaceDN w:val="0"/>
              <w:adjustRightInd w:val="0"/>
            </w:pPr>
          </w:p>
        </w:tc>
        <w:tc>
          <w:tcPr>
            <w:tcW w:w="196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pPr>
          </w:p>
        </w:tc>
        <w:tc>
          <w:tcPr>
            <w:tcW w:w="220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pPr>
          </w:p>
        </w:tc>
        <w:tc>
          <w:tcPr>
            <w:tcW w:w="174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8B04A7" w:rsidRDefault="008B04A7" w:rsidP="005B197E">
            <w:pPr>
              <w:widowControl w:val="0"/>
              <w:autoSpaceDE w:val="0"/>
              <w:autoSpaceDN w:val="0"/>
              <w:adjustRightInd w:val="0"/>
            </w:pPr>
          </w:p>
        </w:tc>
      </w:tr>
    </w:tbl>
    <w:p w:rsidR="008B04A7" w:rsidRDefault="008B04A7" w:rsidP="008B04A7">
      <w:pPr>
        <w:widowControl w:val="0"/>
        <w:autoSpaceDE w:val="0"/>
        <w:autoSpaceDN w:val="0"/>
        <w:adjustRightInd w:val="0"/>
        <w:spacing w:line="358" w:lineRule="exact"/>
      </w:pPr>
    </w:p>
    <w:p w:rsidR="008B04A7" w:rsidRPr="00A15814" w:rsidRDefault="008B04A7" w:rsidP="008B04A7">
      <w:pPr>
        <w:widowControl w:val="0"/>
        <w:autoSpaceDE w:val="0"/>
        <w:autoSpaceDN w:val="0"/>
        <w:adjustRightInd w:val="0"/>
        <w:ind w:left="1880"/>
      </w:pPr>
      <w:r w:rsidRPr="00A15814">
        <w:rPr>
          <w:rFonts w:ascii="Calibri" w:hAnsi="Calibri" w:cs="Calibri"/>
          <w:sz w:val="20"/>
          <w:szCs w:val="20"/>
        </w:rPr>
        <w:t xml:space="preserve">Fait à : </w:t>
      </w:r>
      <w:r w:rsidRPr="00A15814">
        <w:rPr>
          <w:rFonts w:ascii="Calibri" w:hAnsi="Calibri" w:cs="Calibri"/>
          <w:sz w:val="13"/>
          <w:szCs w:val="13"/>
        </w:rPr>
        <w:t>. . . . . . . . . . . . . . . . . . . . . . . . . . . . . . . . . . . .</w:t>
      </w:r>
      <w:r w:rsidRPr="00A15814">
        <w:rPr>
          <w:rFonts w:ascii="Calibri" w:hAnsi="Calibri" w:cs="Calibri"/>
          <w:sz w:val="20"/>
          <w:szCs w:val="20"/>
        </w:rPr>
        <w:t xml:space="preserve"> le : </w:t>
      </w:r>
      <w:r w:rsidRPr="00A15814">
        <w:rPr>
          <w:rFonts w:ascii="Calibri" w:hAnsi="Calibri" w:cs="Calibri"/>
          <w:sz w:val="13"/>
          <w:szCs w:val="13"/>
        </w:rPr>
        <w:t>. . . . . . . . . . . . . . . . . . . . . . . . . . . . . . . . .</w:t>
      </w:r>
    </w:p>
    <w:p w:rsidR="008B04A7" w:rsidRPr="00A15814" w:rsidRDefault="008B04A7" w:rsidP="008B04A7">
      <w:pPr>
        <w:widowControl w:val="0"/>
        <w:autoSpaceDE w:val="0"/>
        <w:autoSpaceDN w:val="0"/>
        <w:adjustRightInd w:val="0"/>
        <w:spacing w:line="246" w:lineRule="exact"/>
      </w:pPr>
    </w:p>
    <w:p w:rsidR="008B04A7" w:rsidRPr="00A15814" w:rsidRDefault="008B04A7" w:rsidP="008B04A7">
      <w:pPr>
        <w:widowControl w:val="0"/>
        <w:autoSpaceDE w:val="0"/>
        <w:autoSpaceDN w:val="0"/>
        <w:adjustRightInd w:val="0"/>
        <w:spacing w:line="239" w:lineRule="auto"/>
        <w:ind w:left="1880"/>
      </w:pPr>
      <w:r w:rsidRPr="00A15814">
        <w:rPr>
          <w:rFonts w:ascii="Calibri" w:hAnsi="Calibri" w:cs="Calibri"/>
          <w:sz w:val="20"/>
          <w:szCs w:val="20"/>
        </w:rPr>
        <w:t xml:space="preserve">Nom et Prénom : </w:t>
      </w:r>
      <w:r w:rsidRPr="00A15814">
        <w:rPr>
          <w:rFonts w:ascii="Calibri" w:hAnsi="Calibri" w:cs="Calibri"/>
          <w:sz w:val="13"/>
          <w:szCs w:val="13"/>
        </w:rPr>
        <w:t>. . . . . . . . . . . . . . . . . . . . . . . . . . . . . . . . . . . . . . . . . . . . . . . . . . . . . . . . . . . . . .</w:t>
      </w:r>
    </w:p>
    <w:p w:rsidR="008B04A7" w:rsidRPr="00A15814" w:rsidRDefault="008B04A7" w:rsidP="008B04A7">
      <w:pPr>
        <w:widowControl w:val="0"/>
        <w:autoSpaceDE w:val="0"/>
        <w:autoSpaceDN w:val="0"/>
        <w:adjustRightInd w:val="0"/>
        <w:spacing w:line="244" w:lineRule="exact"/>
      </w:pPr>
    </w:p>
    <w:p w:rsidR="008B04A7" w:rsidRPr="00A15814" w:rsidRDefault="008B04A7" w:rsidP="008B04A7">
      <w:pPr>
        <w:widowControl w:val="0"/>
        <w:autoSpaceDE w:val="0"/>
        <w:autoSpaceDN w:val="0"/>
        <w:adjustRightInd w:val="0"/>
        <w:ind w:left="4540"/>
      </w:pPr>
      <w:r>
        <w:rPr>
          <w:rFonts w:ascii="Calibri" w:hAnsi="Calibri" w:cs="Calibri"/>
          <w:sz w:val="20"/>
          <w:szCs w:val="20"/>
        </w:rPr>
        <w:t xml:space="preserve">                                                  </w:t>
      </w:r>
      <w:r w:rsidRPr="00A15814">
        <w:rPr>
          <w:rFonts w:ascii="Calibri" w:hAnsi="Calibri" w:cs="Calibri"/>
          <w:sz w:val="20"/>
          <w:szCs w:val="20"/>
        </w:rPr>
        <w:t>Signature</w:t>
      </w:r>
    </w:p>
    <w:p w:rsidR="008B04A7" w:rsidRDefault="008B04A7" w:rsidP="008B04A7">
      <w:pPr>
        <w:widowControl w:val="0"/>
        <w:autoSpaceDE w:val="0"/>
        <w:autoSpaceDN w:val="0"/>
        <w:adjustRightInd w:val="0"/>
        <w:spacing w:line="200" w:lineRule="exact"/>
        <w:rPr>
          <w:rFonts w:ascii="Calibri" w:hAnsi="Calibri" w:cs="Calibri"/>
          <w:sz w:val="20"/>
          <w:szCs w:val="20"/>
        </w:rPr>
      </w:pPr>
    </w:p>
    <w:p w:rsidR="008B04A7" w:rsidRDefault="008B04A7" w:rsidP="008B04A7">
      <w:pPr>
        <w:widowControl w:val="0"/>
        <w:autoSpaceDE w:val="0"/>
        <w:autoSpaceDN w:val="0"/>
        <w:adjustRightInd w:val="0"/>
        <w:spacing w:line="200" w:lineRule="exact"/>
        <w:rPr>
          <w:rFonts w:eastAsia="Calibri" w:cstheme="minorHAnsi"/>
          <w:bCs/>
        </w:rPr>
      </w:pPr>
      <w:r>
        <w:rPr>
          <w:rFonts w:eastAsia="Calibri" w:cstheme="minorHAnsi"/>
          <w:bCs/>
        </w:rPr>
        <w:t>-----------------------------------------------------------------------------------------------------------------------------------------------</w:t>
      </w:r>
    </w:p>
    <w:p w:rsidR="008B04A7" w:rsidRDefault="008B04A7" w:rsidP="008B04A7">
      <w:pPr>
        <w:widowControl w:val="0"/>
        <w:autoSpaceDE w:val="0"/>
        <w:autoSpaceDN w:val="0"/>
        <w:adjustRightInd w:val="0"/>
        <w:spacing w:line="200" w:lineRule="exact"/>
        <w:rPr>
          <w:rFonts w:eastAsia="Calibri" w:cstheme="minorHAnsi"/>
          <w:bCs/>
        </w:rPr>
      </w:pPr>
    </w:p>
    <w:p w:rsidR="008B04A7" w:rsidRDefault="008B04A7" w:rsidP="008B04A7">
      <w:pPr>
        <w:pStyle w:val="Paragraphedeliste"/>
        <w:widowControl w:val="0"/>
        <w:numPr>
          <w:ilvl w:val="1"/>
          <w:numId w:val="7"/>
        </w:numPr>
        <w:autoSpaceDE w:val="0"/>
        <w:autoSpaceDN w:val="0"/>
        <w:adjustRightInd w:val="0"/>
        <w:spacing w:line="200" w:lineRule="exact"/>
        <w:rPr>
          <w:rFonts w:asciiTheme="minorHAnsi" w:eastAsia="Calibri" w:hAnsiTheme="minorHAnsi" w:cstheme="minorHAnsi"/>
          <w:bCs/>
        </w:rPr>
      </w:pPr>
      <w:r w:rsidRPr="002F1BFB">
        <w:rPr>
          <w:rFonts w:cs="Calibri"/>
          <w:sz w:val="20"/>
          <w:szCs w:val="20"/>
        </w:rPr>
        <w:t>Précisez la date de début et de fin de chaque expérience professionnelle en adéquation avec votre CV</w:t>
      </w:r>
    </w:p>
    <w:sectPr w:rsidR="008B04A7" w:rsidSect="007D25CB">
      <w:footerReference w:type="even"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60" w:rsidRDefault="00906560">
      <w:pPr>
        <w:spacing w:after="0" w:line="240" w:lineRule="auto"/>
      </w:pPr>
      <w:r>
        <w:separator/>
      </w:r>
    </w:p>
  </w:endnote>
  <w:endnote w:type="continuationSeparator" w:id="0">
    <w:p w:rsidR="00906560" w:rsidRDefault="0090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66" w:rsidRDefault="005A052B" w:rsidP="00E763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B3066" w:rsidRDefault="00906560">
    <w:pPr>
      <w:pStyle w:val="Pieddepage"/>
    </w:pPr>
  </w:p>
  <w:p w:rsidR="009A1829" w:rsidRDefault="00906560"/>
  <w:p w:rsidR="009A1829" w:rsidRDefault="00906560"/>
  <w:p w:rsidR="009A1829" w:rsidRDefault="009065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60" w:rsidRDefault="00906560">
      <w:pPr>
        <w:spacing w:after="0" w:line="240" w:lineRule="auto"/>
      </w:pPr>
      <w:r>
        <w:separator/>
      </w:r>
    </w:p>
  </w:footnote>
  <w:footnote w:type="continuationSeparator" w:id="0">
    <w:p w:rsidR="00906560" w:rsidRDefault="00906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5EB"/>
    <w:multiLevelType w:val="hybridMultilevel"/>
    <w:tmpl w:val="FF74A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12F75"/>
    <w:multiLevelType w:val="hybridMultilevel"/>
    <w:tmpl w:val="B3E26B76"/>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6AC1CF9"/>
    <w:multiLevelType w:val="hybridMultilevel"/>
    <w:tmpl w:val="44609680"/>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7CF523D"/>
    <w:multiLevelType w:val="hybridMultilevel"/>
    <w:tmpl w:val="73D8BC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87D2D"/>
    <w:multiLevelType w:val="hybridMultilevel"/>
    <w:tmpl w:val="D91C8454"/>
    <w:lvl w:ilvl="0" w:tplc="3446A88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7723E"/>
    <w:multiLevelType w:val="hybridMultilevel"/>
    <w:tmpl w:val="2AEE3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9F0C35"/>
    <w:multiLevelType w:val="hybridMultilevel"/>
    <w:tmpl w:val="E1C627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CA569D"/>
    <w:multiLevelType w:val="hybridMultilevel"/>
    <w:tmpl w:val="F2240B66"/>
    <w:lvl w:ilvl="0" w:tplc="040C000D">
      <w:start w:val="1"/>
      <w:numFmt w:val="bullet"/>
      <w:lvlText w:val=""/>
      <w:lvlJc w:val="left"/>
      <w:pPr>
        <w:ind w:left="720" w:hanging="360"/>
      </w:pPr>
      <w:rPr>
        <w:rFonts w:ascii="Wingdings" w:hAnsi="Wingdings" w:hint="default"/>
      </w:rPr>
    </w:lvl>
    <w:lvl w:ilvl="1" w:tplc="8EA6F0E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15083"/>
    <w:multiLevelType w:val="hybridMultilevel"/>
    <w:tmpl w:val="FC143A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10ACF"/>
    <w:multiLevelType w:val="hybridMultilevel"/>
    <w:tmpl w:val="0E8C6872"/>
    <w:lvl w:ilvl="0" w:tplc="040C0005">
      <w:start w:val="1"/>
      <w:numFmt w:val="bullet"/>
      <w:lvlText w:val=""/>
      <w:lvlJc w:val="left"/>
      <w:pPr>
        <w:ind w:left="720" w:hanging="360"/>
      </w:pPr>
      <w:rPr>
        <w:rFonts w:ascii="Wingdings" w:hAnsi="Wingdings" w:hint="default"/>
      </w:rPr>
    </w:lvl>
    <w:lvl w:ilvl="1" w:tplc="3D681F6C">
      <w:numFmt w:val="bullet"/>
      <w:lvlText w:val="-"/>
      <w:lvlJc w:val="left"/>
      <w:pPr>
        <w:ind w:left="1440" w:hanging="360"/>
      </w:pPr>
      <w:rPr>
        <w:rFonts w:ascii="Calibri" w:eastAsiaTheme="minorHAns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23256C"/>
    <w:multiLevelType w:val="hybridMultilevel"/>
    <w:tmpl w:val="993AE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90FD1"/>
    <w:multiLevelType w:val="hybridMultilevel"/>
    <w:tmpl w:val="03CE57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336373"/>
    <w:multiLevelType w:val="multilevel"/>
    <w:tmpl w:val="51ACC742"/>
    <w:lvl w:ilvl="0">
      <w:start w:val="1"/>
      <w:numFmt w:val="bullet"/>
      <w:lvlText w:val=""/>
      <w:lvlJc w:val="left"/>
      <w:pPr>
        <w:tabs>
          <w:tab w:val="num" w:pos="644"/>
        </w:tabs>
        <w:ind w:left="644" w:hanging="360"/>
      </w:pPr>
      <w:rPr>
        <w:rFonts w:ascii="Wingdings" w:hAnsi="Wingdings" w:hint="default"/>
        <w:sz w:val="20"/>
      </w:rPr>
    </w:lvl>
    <w:lvl w:ilvl="1">
      <w:start w:val="1"/>
      <w:numFmt w:val="decimal"/>
      <w:lvlText w:val="%2-"/>
      <w:lvlJc w:val="left"/>
      <w:pPr>
        <w:ind w:left="36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F089F"/>
    <w:multiLevelType w:val="hybridMultilevel"/>
    <w:tmpl w:val="F2AC6F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C84731"/>
    <w:multiLevelType w:val="hybridMultilevel"/>
    <w:tmpl w:val="0BC85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790DB4"/>
    <w:multiLevelType w:val="hybridMultilevel"/>
    <w:tmpl w:val="EE5C06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A379D"/>
    <w:multiLevelType w:val="hybridMultilevel"/>
    <w:tmpl w:val="B53A2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597996"/>
    <w:multiLevelType w:val="hybridMultilevel"/>
    <w:tmpl w:val="865615A0"/>
    <w:lvl w:ilvl="0" w:tplc="3702C75E">
      <w:start w:val="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F557DD3"/>
    <w:multiLevelType w:val="hybridMultilevel"/>
    <w:tmpl w:val="8DBE129A"/>
    <w:lvl w:ilvl="0" w:tplc="84F06B3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9321D2"/>
    <w:multiLevelType w:val="hybridMultilevel"/>
    <w:tmpl w:val="7040E90E"/>
    <w:lvl w:ilvl="0" w:tplc="BAEA237E">
      <w:start w:val="1"/>
      <w:numFmt w:val="decimal"/>
      <w:lvlText w:val="%1."/>
      <w:lvlJc w:val="left"/>
      <w:pPr>
        <w:ind w:left="720" w:hanging="360"/>
      </w:pPr>
      <w:rPr>
        <w:b/>
        <w:bCs/>
        <w:i w:val="0"/>
        <w:i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30C113A2"/>
    <w:multiLevelType w:val="hybridMultilevel"/>
    <w:tmpl w:val="BFCA239A"/>
    <w:lvl w:ilvl="0" w:tplc="4126A6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0832D9"/>
    <w:multiLevelType w:val="hybridMultilevel"/>
    <w:tmpl w:val="D0AAC93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9E5167"/>
    <w:multiLevelType w:val="hybridMultilevel"/>
    <w:tmpl w:val="A3265896"/>
    <w:lvl w:ilvl="0" w:tplc="630AF95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A130B6"/>
    <w:multiLevelType w:val="hybridMultilevel"/>
    <w:tmpl w:val="AC5A8796"/>
    <w:lvl w:ilvl="0" w:tplc="03ECCD5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ED6944"/>
    <w:multiLevelType w:val="hybridMultilevel"/>
    <w:tmpl w:val="6292F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CE16EE"/>
    <w:multiLevelType w:val="hybridMultilevel"/>
    <w:tmpl w:val="D29C66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3C629F"/>
    <w:multiLevelType w:val="hybridMultilevel"/>
    <w:tmpl w:val="6480D7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5403F0"/>
    <w:multiLevelType w:val="hybridMultilevel"/>
    <w:tmpl w:val="956A7D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0F2467"/>
    <w:multiLevelType w:val="hybridMultilevel"/>
    <w:tmpl w:val="9A843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445166"/>
    <w:multiLevelType w:val="hybridMultilevel"/>
    <w:tmpl w:val="D472D8A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8929C1"/>
    <w:multiLevelType w:val="hybridMultilevel"/>
    <w:tmpl w:val="F940A040"/>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1C03A0"/>
    <w:multiLevelType w:val="hybridMultilevel"/>
    <w:tmpl w:val="77380DF6"/>
    <w:lvl w:ilvl="0" w:tplc="B406D7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C06DB7"/>
    <w:multiLevelType w:val="hybridMultilevel"/>
    <w:tmpl w:val="AF6C6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613C65"/>
    <w:multiLevelType w:val="hybridMultilevel"/>
    <w:tmpl w:val="7366B1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70356E"/>
    <w:multiLevelType w:val="hybridMultilevel"/>
    <w:tmpl w:val="F1BAFB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7"/>
  </w:num>
  <w:num w:numId="4">
    <w:abstractNumId w:val="2"/>
  </w:num>
  <w:num w:numId="5">
    <w:abstractNumId w:val="3"/>
  </w:num>
  <w:num w:numId="6">
    <w:abstractNumId w:val="14"/>
  </w:num>
  <w:num w:numId="7">
    <w:abstractNumId w:val="12"/>
  </w:num>
  <w:num w:numId="8">
    <w:abstractNumId w:val="13"/>
  </w:num>
  <w:num w:numId="9">
    <w:abstractNumId w:val="32"/>
  </w:num>
  <w:num w:numId="10">
    <w:abstractNumId w:val="26"/>
  </w:num>
  <w:num w:numId="11">
    <w:abstractNumId w:val="33"/>
  </w:num>
  <w:num w:numId="12">
    <w:abstractNumId w:val="28"/>
  </w:num>
  <w:num w:numId="13">
    <w:abstractNumId w:val="16"/>
  </w:num>
  <w:num w:numId="14">
    <w:abstractNumId w:val="9"/>
  </w:num>
  <w:num w:numId="15">
    <w:abstractNumId w:val="24"/>
  </w:num>
  <w:num w:numId="16">
    <w:abstractNumId w:val="31"/>
  </w:num>
  <w:num w:numId="17">
    <w:abstractNumId w:val="27"/>
  </w:num>
  <w:num w:numId="18">
    <w:abstractNumId w:val="20"/>
  </w:num>
  <w:num w:numId="19">
    <w:abstractNumId w:val="11"/>
  </w:num>
  <w:num w:numId="20">
    <w:abstractNumId w:val="18"/>
  </w:num>
  <w:num w:numId="21">
    <w:abstractNumId w:val="7"/>
  </w:num>
  <w:num w:numId="22">
    <w:abstractNumId w:val="21"/>
  </w:num>
  <w:num w:numId="23">
    <w:abstractNumId w:val="25"/>
  </w:num>
  <w:num w:numId="24">
    <w:abstractNumId w:val="10"/>
  </w:num>
  <w:num w:numId="25">
    <w:abstractNumId w:val="22"/>
  </w:num>
  <w:num w:numId="26">
    <w:abstractNumId w:val="15"/>
  </w:num>
  <w:num w:numId="27">
    <w:abstractNumId w:val="4"/>
  </w:num>
  <w:num w:numId="28">
    <w:abstractNumId w:val="0"/>
  </w:num>
  <w:num w:numId="29">
    <w:abstractNumId w:val="23"/>
  </w:num>
  <w:num w:numId="30">
    <w:abstractNumId w:val="5"/>
  </w:num>
  <w:num w:numId="31">
    <w:abstractNumId w:val="6"/>
  </w:num>
  <w:num w:numId="32">
    <w:abstractNumId w:val="30"/>
  </w:num>
  <w:num w:numId="33">
    <w:abstractNumId w:val="1"/>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A7"/>
    <w:rsid w:val="00403D5B"/>
    <w:rsid w:val="00583853"/>
    <w:rsid w:val="005A052B"/>
    <w:rsid w:val="006D1EEC"/>
    <w:rsid w:val="008B04A7"/>
    <w:rsid w:val="008D0D4C"/>
    <w:rsid w:val="008D53A0"/>
    <w:rsid w:val="00906560"/>
    <w:rsid w:val="00923B40"/>
    <w:rsid w:val="00A10ACC"/>
    <w:rsid w:val="00BF2062"/>
    <w:rsid w:val="00E6674D"/>
    <w:rsid w:val="00F41DDE"/>
    <w:rsid w:val="00FF25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78F9"/>
  <w15:chartTrackingRefBased/>
  <w15:docId w15:val="{D9B543CA-2975-431E-85CE-8D09763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B04A7"/>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8B04A7"/>
    <w:rPr>
      <w:rFonts w:ascii="Times New Roman" w:eastAsia="Times New Roman" w:hAnsi="Times New Roman" w:cs="Times New Roman"/>
      <w:sz w:val="24"/>
      <w:szCs w:val="24"/>
      <w:lang w:val="en-US"/>
    </w:rPr>
  </w:style>
  <w:style w:type="character" w:styleId="Numrodepage">
    <w:name w:val="page number"/>
    <w:basedOn w:val="Policepardfaut"/>
    <w:rsid w:val="008B04A7"/>
  </w:style>
  <w:style w:type="paragraph" w:styleId="Paragraphedeliste">
    <w:name w:val="List Paragraph"/>
    <w:aliases w:val="List Paragraph (numbered (a))"/>
    <w:basedOn w:val="Normal"/>
    <w:link w:val="ParagraphedelisteCar"/>
    <w:uiPriority w:val="34"/>
    <w:qFormat/>
    <w:rsid w:val="008B04A7"/>
    <w:pPr>
      <w:spacing w:after="200" w:line="276" w:lineRule="auto"/>
      <w:ind w:left="720"/>
      <w:contextualSpacing/>
    </w:pPr>
    <w:rPr>
      <w:rFonts w:ascii="Calibri" w:eastAsia="Times New Roman" w:hAnsi="Calibri" w:cs="Arial"/>
      <w:lang w:eastAsia="fr-FR"/>
    </w:rPr>
  </w:style>
  <w:style w:type="character" w:customStyle="1" w:styleId="ParagraphedelisteCar">
    <w:name w:val="Paragraphe de liste Car"/>
    <w:aliases w:val="List Paragraph (numbered (a)) Car"/>
    <w:basedOn w:val="Policepardfaut"/>
    <w:link w:val="Paragraphedeliste"/>
    <w:uiPriority w:val="34"/>
    <w:locked/>
    <w:rsid w:val="008B04A7"/>
    <w:rPr>
      <w:rFonts w:ascii="Calibri" w:eastAsia="Times New Roman" w:hAnsi="Calibri" w:cs="Arial"/>
      <w:lang w:eastAsia="fr-FR"/>
    </w:rPr>
  </w:style>
  <w:style w:type="paragraph" w:customStyle="1" w:styleId="Style">
    <w:name w:val="Style"/>
    <w:rsid w:val="008B04A7"/>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gris2">
    <w:name w:val="gris2"/>
    <w:basedOn w:val="Policepardfaut"/>
    <w:rsid w:val="005A052B"/>
  </w:style>
  <w:style w:type="paragraph" w:styleId="NormalWeb">
    <w:name w:val="Normal (Web)"/>
    <w:basedOn w:val="Normal"/>
    <w:uiPriority w:val="99"/>
    <w:unhideWhenUsed/>
    <w:rsid w:val="005A05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052B"/>
    <w:rPr>
      <w:color w:val="0563C1" w:themeColor="hyperlink"/>
      <w:u w:val="single"/>
    </w:rPr>
  </w:style>
  <w:style w:type="character" w:styleId="Mentionnonrsolue">
    <w:name w:val="Unresolved Mention"/>
    <w:basedOn w:val="Policepardfaut"/>
    <w:uiPriority w:val="99"/>
    <w:semiHidden/>
    <w:unhideWhenUsed/>
    <w:rsid w:val="00923B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9864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RIADH BEZZARGA</dc:creator>
  <cp:keywords/>
  <dc:description/>
  <cp:lastModifiedBy>Taha El abed</cp:lastModifiedBy>
  <cp:revision>2</cp:revision>
  <dcterms:created xsi:type="dcterms:W3CDTF">2018-04-23T08:44:00Z</dcterms:created>
  <dcterms:modified xsi:type="dcterms:W3CDTF">2018-04-23T08:44:00Z</dcterms:modified>
</cp:coreProperties>
</file>