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16" w:rsidRPr="00FA4B25" w:rsidRDefault="00835216" w:rsidP="00D15914">
      <w:pPr>
        <w:kinsoku w:val="0"/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</w:pPr>
      <w:r w:rsidRPr="00FA4B25"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  <w:t xml:space="preserve">World Food Moscow 17- 20 </w:t>
      </w:r>
      <w:proofErr w:type="spellStart"/>
      <w:r w:rsidRPr="00FA4B25"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  <w:t>septembre</w:t>
      </w:r>
      <w:proofErr w:type="spellEnd"/>
      <w:r w:rsidRPr="00FA4B25"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  <w:t xml:space="preserve"> 2018</w:t>
      </w:r>
    </w:p>
    <w:p w:rsidR="00C90352" w:rsidRPr="00FA4B25" w:rsidRDefault="00C55DF6" w:rsidP="00C90352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u w:val="single"/>
          <w:lang w:val="en-US" w:bidi="ar-TN"/>
        </w:rPr>
      </w:pPr>
      <w:r w:rsidRPr="00FA4B25">
        <w:rPr>
          <w:rFonts w:ascii="Times New Roman" w:eastAsia="Times New Roman" w:hAnsi="Times New Roman" w:cs="Traditional Arabic"/>
          <w:color w:val="FF0000"/>
          <w:sz w:val="36"/>
          <w:szCs w:val="36"/>
          <w:lang w:val="en-US" w:bidi="ar-TN"/>
        </w:rPr>
        <w:t xml:space="preserve">                   </w:t>
      </w:r>
      <w:r w:rsidRPr="00FA4B25"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  <w:t xml:space="preserve"> </w:t>
      </w:r>
      <w:proofErr w:type="spellStart"/>
      <w:r w:rsidR="00C90352" w:rsidRPr="00FA4B25"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  <w:t>Expocentre</w:t>
      </w:r>
      <w:proofErr w:type="spellEnd"/>
      <w:r w:rsidR="00C90352" w:rsidRPr="00FA4B25">
        <w:rPr>
          <w:rFonts w:ascii="Times New Roman" w:eastAsia="Times New Roman" w:hAnsi="Times New Roman" w:cs="Traditional Arabic"/>
          <w:color w:val="FF0000"/>
          <w:sz w:val="36"/>
          <w:szCs w:val="36"/>
          <w:u w:val="single"/>
          <w:lang w:val="en-US" w:bidi="ar-TN"/>
        </w:rPr>
        <w:t xml:space="preserve">, Moscow Russia </w:t>
      </w:r>
    </w:p>
    <w:p w:rsidR="00C90352" w:rsidRDefault="00C90352" w:rsidP="00C90352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u w:val="single"/>
          <w:lang w:bidi="ar-TN"/>
        </w:rPr>
      </w:pPr>
      <w:r w:rsidRPr="00835216">
        <w:rPr>
          <w:rFonts w:ascii="Times New Roman" w:eastAsia="Times New Roman" w:hAnsi="Times New Roman" w:cs="Traditional Arabic"/>
          <w:sz w:val="36"/>
          <w:szCs w:val="36"/>
          <w:u w:val="single"/>
          <w:lang w:bidi="ar-TN"/>
        </w:rPr>
        <w:t>Salon annuel</w:t>
      </w:r>
    </w:p>
    <w:p w:rsidR="00C90352" w:rsidRPr="00835216" w:rsidRDefault="00C90352" w:rsidP="00C90352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u w:val="single"/>
          <w:lang w:bidi="ar-TN"/>
        </w:rPr>
      </w:pPr>
    </w:p>
    <w:p w:rsidR="00835216" w:rsidRPr="00835216" w:rsidRDefault="00835216" w:rsidP="00835216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>27ème édition</w:t>
      </w:r>
    </w:p>
    <w:p w:rsidR="00835216" w:rsidRPr="00835216" w:rsidRDefault="00835216" w:rsidP="00835216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>1.516 exposants</w:t>
      </w:r>
    </w:p>
    <w:p w:rsidR="00835216" w:rsidRPr="00835216" w:rsidRDefault="00835216" w:rsidP="00835216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62 pays participants </w:t>
      </w:r>
    </w:p>
    <w:p w:rsidR="00835216" w:rsidRPr="00835216" w:rsidRDefault="00835216" w:rsidP="00835216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>30.000</w:t>
      </w:r>
      <w:r w:rsidR="004C416C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</w:t>
      </w:r>
      <w:r w:rsidR="003F48AA"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>visiteurs professionnels (</w:t>
      </w:r>
      <w:r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>grossistes, distributeurs, détaillants, restaurateurs,…) de 79 régions Russe et 90 pays</w:t>
      </w:r>
    </w:p>
    <w:p w:rsidR="00835216" w:rsidRPr="00835216" w:rsidRDefault="00835216" w:rsidP="00835216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835216">
        <w:rPr>
          <w:rFonts w:ascii="Times New Roman" w:eastAsia="Times New Roman" w:hAnsi="Times New Roman" w:cs="Traditional Arabic"/>
          <w:sz w:val="36"/>
          <w:szCs w:val="36"/>
          <w:lang w:bidi="ar-TN"/>
        </w:rPr>
        <w:t xml:space="preserve"> 25.000 m² d’espace d’exposition – 44 pavillons nationaux</w:t>
      </w:r>
    </w:p>
    <w:p w:rsidR="00F5781B" w:rsidRPr="00FA4B25" w:rsidRDefault="00835216" w:rsidP="00835216">
      <w:pPr>
        <w:rPr>
          <w:rFonts w:ascii="Times New Roman" w:eastAsia="Times New Roman" w:hAnsi="Times New Roman" w:cs="Traditional Arabic"/>
          <w:b/>
          <w:bCs/>
          <w:sz w:val="36"/>
          <w:szCs w:val="36"/>
          <w:lang w:val="en-US" w:bidi="ar-TN"/>
        </w:rPr>
      </w:pPr>
      <w:r w:rsidRPr="00FA4B25">
        <w:rPr>
          <w:rFonts w:ascii="Times New Roman" w:eastAsia="Times New Roman" w:hAnsi="Times New Roman" w:cs="Traditional Arabic"/>
          <w:sz w:val="36"/>
          <w:szCs w:val="36"/>
          <w:lang w:val="en-US" w:bidi="ar-TN"/>
        </w:rPr>
        <w:t xml:space="preserve">    </w:t>
      </w:r>
      <w:r w:rsidRPr="00FA4B25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val="en-US" w:bidi="ar-TN"/>
        </w:rPr>
        <w:t xml:space="preserve">Site </w:t>
      </w:r>
      <w:proofErr w:type="gramStart"/>
      <w:r w:rsidRPr="00FA4B25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val="en-US" w:bidi="ar-TN"/>
        </w:rPr>
        <w:t>web :</w:t>
      </w:r>
      <w:proofErr w:type="gramEnd"/>
      <w:r w:rsidRPr="00FA4B25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val="en-US" w:bidi="ar-TN"/>
        </w:rPr>
        <w:t xml:space="preserve"> www.world-foo</w:t>
      </w:r>
      <w:r w:rsidR="00DD494F" w:rsidRPr="00FA4B25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val="en-US" w:bidi="ar-TN"/>
        </w:rPr>
        <w:t>d.ru</w:t>
      </w:r>
    </w:p>
    <w:p w:rsidR="00AB03EE" w:rsidRDefault="00845CED" w:rsidP="00F5781B">
      <w:pPr>
        <w:rPr>
          <w:rFonts w:ascii="Times New Roman" w:eastAsia="Times New Roman" w:hAnsi="Times New Roman" w:cs="Traditional Arabic"/>
          <w:sz w:val="36"/>
          <w:szCs w:val="36"/>
          <w:lang w:bidi="ar-TN"/>
        </w:rPr>
      </w:pPr>
      <w:r w:rsidRPr="00845CED">
        <w:rPr>
          <w:rFonts w:ascii="Times New Roman" w:eastAsia="Times New Roman" w:hAnsi="Times New Roman" w:cs="Traditional Arabic"/>
          <w:sz w:val="36"/>
          <w:szCs w:val="36"/>
          <w:u w:val="single"/>
          <w:lang w:bidi="ar-TN"/>
        </w:rPr>
        <w:t>Participation Tunisienne</w:t>
      </w:r>
      <w:r>
        <w:rPr>
          <w:rFonts w:ascii="Times New Roman" w:eastAsia="Times New Roman" w:hAnsi="Times New Roman" w:cs="Traditional Arabic"/>
          <w:sz w:val="36"/>
          <w:szCs w:val="36"/>
          <w:lang w:bidi="ar-TN"/>
        </w:rPr>
        <w:t> :</w:t>
      </w:r>
    </w:p>
    <w:p w:rsidR="008149B0" w:rsidRPr="008149B0" w:rsidRDefault="008149B0" w:rsidP="008149B0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rFonts w:cs="Traditional Arabic"/>
          <w:sz w:val="36"/>
          <w:szCs w:val="36"/>
          <w:lang w:eastAsia="en-US" w:bidi="ar-TN"/>
        </w:rPr>
      </w:pPr>
      <w:r w:rsidRPr="008149B0">
        <w:rPr>
          <w:rFonts w:cs="Traditional Arabic"/>
          <w:sz w:val="36"/>
          <w:szCs w:val="36"/>
          <w:lang w:eastAsia="en-US" w:bidi="ar-TN"/>
        </w:rPr>
        <w:t>Pavillon National d’une superficie totale d’exposition de 90 m² en 02 îlots et situé dans le Hall 8.1 – pavillon national</w:t>
      </w:r>
    </w:p>
    <w:p w:rsidR="008149B0" w:rsidRPr="008149B0" w:rsidRDefault="008149B0" w:rsidP="008149B0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rFonts w:cs="Traditional Arabic"/>
          <w:sz w:val="36"/>
          <w:szCs w:val="36"/>
          <w:lang w:eastAsia="en-US" w:bidi="ar-TN"/>
        </w:rPr>
      </w:pPr>
      <w:r w:rsidRPr="008149B0">
        <w:rPr>
          <w:rFonts w:cs="Traditional Arabic"/>
          <w:sz w:val="36"/>
          <w:szCs w:val="36"/>
          <w:lang w:eastAsia="en-US" w:bidi="ar-TN"/>
        </w:rPr>
        <w:t xml:space="preserve"> 08 entreprises tunisiennes participantes + CEPEX</w:t>
      </w:r>
    </w:p>
    <w:p w:rsidR="008149B0" w:rsidRDefault="008149B0" w:rsidP="008149B0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rFonts w:cs="Traditional Arabic"/>
          <w:sz w:val="36"/>
          <w:szCs w:val="36"/>
          <w:lang w:eastAsia="en-US" w:bidi="ar-TN"/>
        </w:rPr>
      </w:pPr>
      <w:r w:rsidRPr="008149B0">
        <w:rPr>
          <w:rFonts w:cs="Traditional Arabic"/>
          <w:sz w:val="36"/>
          <w:szCs w:val="36"/>
          <w:lang w:eastAsia="en-US" w:bidi="ar-TN"/>
        </w:rPr>
        <w:t xml:space="preserve">Spécialisées dans l’exportation de dattes, huile d’olive, couscous, tomate pelée, conserve de </w:t>
      </w:r>
      <w:r w:rsidR="00F85A96" w:rsidRPr="008149B0">
        <w:rPr>
          <w:rFonts w:cs="Traditional Arabic"/>
          <w:sz w:val="36"/>
          <w:szCs w:val="36"/>
          <w:lang w:eastAsia="en-US" w:bidi="ar-TN"/>
        </w:rPr>
        <w:t>harissa, double</w:t>
      </w:r>
      <w:r w:rsidRPr="008149B0">
        <w:rPr>
          <w:rFonts w:cs="Traditional Arabic"/>
          <w:sz w:val="36"/>
          <w:szCs w:val="36"/>
          <w:lang w:eastAsia="en-US" w:bidi="ar-TN"/>
        </w:rPr>
        <w:t xml:space="preserve"> </w:t>
      </w:r>
      <w:r w:rsidR="00F85A96" w:rsidRPr="008149B0">
        <w:rPr>
          <w:rFonts w:cs="Traditional Arabic"/>
          <w:sz w:val="36"/>
          <w:szCs w:val="36"/>
          <w:lang w:eastAsia="en-US" w:bidi="ar-TN"/>
        </w:rPr>
        <w:t>concentrée</w:t>
      </w:r>
      <w:r w:rsidRPr="008149B0">
        <w:rPr>
          <w:rFonts w:cs="Traditional Arabic"/>
          <w:sz w:val="36"/>
          <w:szCs w:val="36"/>
          <w:lang w:eastAsia="en-US" w:bidi="ar-TN"/>
        </w:rPr>
        <w:t xml:space="preserve"> de </w:t>
      </w:r>
      <w:r w:rsidR="00F85A96" w:rsidRPr="008149B0">
        <w:rPr>
          <w:rFonts w:cs="Traditional Arabic"/>
          <w:sz w:val="36"/>
          <w:szCs w:val="36"/>
          <w:lang w:eastAsia="en-US" w:bidi="ar-TN"/>
        </w:rPr>
        <w:t>tomates.</w:t>
      </w:r>
    </w:p>
    <w:p w:rsidR="00015EDC" w:rsidRPr="00015EDC" w:rsidRDefault="00015EDC" w:rsidP="00015EDC">
      <w:pPr>
        <w:kinsoku w:val="0"/>
        <w:overflowPunct w:val="0"/>
        <w:ind w:left="360"/>
        <w:textAlignment w:val="baseline"/>
        <w:rPr>
          <w:rFonts w:cs="Traditional Arabic"/>
          <w:sz w:val="36"/>
          <w:szCs w:val="36"/>
          <w:lang w:bidi="ar-TN"/>
        </w:rPr>
      </w:pPr>
      <w:r w:rsidRPr="00015EDC">
        <w:rPr>
          <w:rFonts w:cs="Traditional Arabic"/>
          <w:sz w:val="36"/>
          <w:szCs w:val="36"/>
          <w:lang w:bidi="ar-TN"/>
        </w:rPr>
        <w:t xml:space="preserve">Communication : </w:t>
      </w:r>
    </w:p>
    <w:p w:rsidR="00015EDC" w:rsidRPr="00015EDC" w:rsidRDefault="00015EDC" w:rsidP="00015EDC">
      <w:pPr>
        <w:pStyle w:val="Paragraphedeliste"/>
        <w:numPr>
          <w:ilvl w:val="0"/>
          <w:numId w:val="2"/>
        </w:numPr>
        <w:kinsoku w:val="0"/>
        <w:overflowPunct w:val="0"/>
        <w:rPr>
          <w:rFonts w:cs="Traditional Arabic"/>
          <w:sz w:val="36"/>
          <w:szCs w:val="36"/>
          <w:lang w:bidi="ar-TN"/>
        </w:rPr>
      </w:pPr>
      <w:r w:rsidRPr="00015EDC">
        <w:rPr>
          <w:rFonts w:cs="Traditional Arabic"/>
          <w:sz w:val="36"/>
          <w:szCs w:val="36"/>
          <w:lang w:bidi="ar-TN"/>
        </w:rPr>
        <w:t>Insertion d’une page publicitaire sur le Catalogue Officiel du Salon.</w:t>
      </w:r>
    </w:p>
    <w:p w:rsidR="00015EDC" w:rsidRDefault="00015EDC" w:rsidP="00015EDC">
      <w:pPr>
        <w:pStyle w:val="Paragraphedeliste"/>
        <w:numPr>
          <w:ilvl w:val="0"/>
          <w:numId w:val="2"/>
        </w:numPr>
        <w:kinsoku w:val="0"/>
        <w:overflowPunct w:val="0"/>
        <w:rPr>
          <w:rFonts w:cs="Traditional Arabic"/>
          <w:sz w:val="36"/>
          <w:szCs w:val="36"/>
          <w:lang w:bidi="ar-TN"/>
        </w:rPr>
      </w:pPr>
      <w:r w:rsidRPr="00015EDC">
        <w:rPr>
          <w:rFonts w:cs="Traditional Arabic"/>
          <w:sz w:val="36"/>
          <w:szCs w:val="36"/>
          <w:lang w:bidi="ar-TN"/>
        </w:rPr>
        <w:t>création d’une bannière sur le site web du salon</w:t>
      </w:r>
    </w:p>
    <w:p w:rsidR="00B475E2" w:rsidRDefault="00B475E2" w:rsidP="00015EDC">
      <w:pPr>
        <w:pStyle w:val="Paragraphedeliste"/>
        <w:numPr>
          <w:ilvl w:val="0"/>
          <w:numId w:val="2"/>
        </w:numPr>
        <w:kinsoku w:val="0"/>
        <w:overflowPunct w:val="0"/>
        <w:rPr>
          <w:rFonts w:cs="Traditional Arabic"/>
          <w:sz w:val="36"/>
          <w:szCs w:val="36"/>
          <w:lang w:bidi="ar-TN"/>
        </w:rPr>
      </w:pPr>
      <w:proofErr w:type="gramStart"/>
      <w:r>
        <w:rPr>
          <w:rFonts w:cs="Traditional Arabic"/>
          <w:sz w:val="36"/>
          <w:szCs w:val="36"/>
          <w:lang w:bidi="ar-TN"/>
        </w:rPr>
        <w:t>affiche</w:t>
      </w:r>
      <w:proofErr w:type="gramEnd"/>
      <w:r>
        <w:rPr>
          <w:rFonts w:cs="Traditional Arabic"/>
          <w:sz w:val="36"/>
          <w:szCs w:val="36"/>
          <w:lang w:bidi="ar-TN"/>
        </w:rPr>
        <w:t xml:space="preserve"> </w:t>
      </w:r>
      <w:proofErr w:type="spellStart"/>
      <w:r>
        <w:rPr>
          <w:rFonts w:cs="Traditional Arabic"/>
          <w:sz w:val="36"/>
          <w:szCs w:val="36"/>
          <w:lang w:bidi="ar-TN"/>
        </w:rPr>
        <w:t>pub</w:t>
      </w:r>
      <w:r w:rsidR="00FA4B25">
        <w:rPr>
          <w:rFonts w:cs="Traditional Arabic"/>
          <w:sz w:val="36"/>
          <w:szCs w:val="36"/>
          <w:lang w:bidi="ar-TN"/>
        </w:rPr>
        <w:t>licaitaire</w:t>
      </w:r>
      <w:proofErr w:type="spellEnd"/>
      <w:r>
        <w:rPr>
          <w:rFonts w:cs="Traditional Arabic"/>
          <w:sz w:val="36"/>
          <w:szCs w:val="36"/>
          <w:lang w:bidi="ar-TN"/>
        </w:rPr>
        <w:t xml:space="preserve"> sur l’allée du pavillon (à l’extérieur du </w:t>
      </w:r>
      <w:r w:rsidR="003F69F2">
        <w:rPr>
          <w:rFonts w:cs="Traditional Arabic"/>
          <w:sz w:val="36"/>
          <w:szCs w:val="36"/>
          <w:lang w:bidi="ar-TN"/>
        </w:rPr>
        <w:t>pavillon)</w:t>
      </w:r>
      <w:r>
        <w:rPr>
          <w:rFonts w:cs="Traditional Arabic"/>
          <w:sz w:val="36"/>
          <w:szCs w:val="36"/>
          <w:lang w:bidi="ar-TN"/>
        </w:rPr>
        <w:t>.</w:t>
      </w:r>
    </w:p>
    <w:p w:rsidR="00845CED" w:rsidRPr="00D7567C" w:rsidRDefault="00127BC4" w:rsidP="00593DC6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rFonts w:cs="Traditional Arabic"/>
          <w:sz w:val="36"/>
          <w:szCs w:val="36"/>
          <w:lang w:bidi="ar-TN"/>
        </w:rPr>
      </w:pPr>
      <w:r w:rsidRPr="00D7567C">
        <w:rPr>
          <w:rFonts w:cs="Traditional Arabic"/>
          <w:sz w:val="36"/>
          <w:szCs w:val="36"/>
          <w:lang w:bidi="ar-TN"/>
        </w:rPr>
        <w:t xml:space="preserve"> </w:t>
      </w:r>
      <w:r w:rsidR="0075559C" w:rsidRPr="00D7567C">
        <w:rPr>
          <w:rFonts w:cs="Traditional Arabic"/>
          <w:sz w:val="36"/>
          <w:szCs w:val="36"/>
          <w:lang w:bidi="ar-TN"/>
        </w:rPr>
        <w:t>Organisation</w:t>
      </w:r>
      <w:r w:rsidRPr="00D7567C">
        <w:rPr>
          <w:rFonts w:cs="Traditional Arabic"/>
          <w:sz w:val="36"/>
          <w:szCs w:val="36"/>
          <w:lang w:bidi="ar-TN"/>
        </w:rPr>
        <w:t xml:space="preserve"> de séances de Cooking show animés par un grand Chef cuisinier tunisien au sein du Pavillon de la Tunisie afin de permettre aux visiteurs du Salon d</w:t>
      </w:r>
      <w:r w:rsidR="00FA4B25">
        <w:rPr>
          <w:rFonts w:cs="Traditional Arabic"/>
          <w:sz w:val="36"/>
          <w:szCs w:val="36"/>
          <w:lang w:bidi="ar-TN"/>
        </w:rPr>
        <w:t xml:space="preserve">e déguster des mets typiquement tunisiens à base de produits </w:t>
      </w:r>
      <w:bookmarkStart w:id="0" w:name="_GoBack"/>
      <w:bookmarkEnd w:id="0"/>
      <w:r w:rsidRPr="00D7567C">
        <w:rPr>
          <w:rFonts w:cs="Traditional Arabic"/>
          <w:sz w:val="36"/>
          <w:szCs w:val="36"/>
          <w:lang w:bidi="ar-TN"/>
        </w:rPr>
        <w:t>tunisiens.</w:t>
      </w:r>
    </w:p>
    <w:sectPr w:rsidR="00845CED" w:rsidRPr="00D7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1D9"/>
    <w:multiLevelType w:val="hybridMultilevel"/>
    <w:tmpl w:val="A8D6C2A6"/>
    <w:lvl w:ilvl="0" w:tplc="DBBA2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2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08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B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1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4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48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7D5F14"/>
    <w:multiLevelType w:val="hybridMultilevel"/>
    <w:tmpl w:val="9CBC54D8"/>
    <w:lvl w:ilvl="0" w:tplc="4510C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08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65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46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4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24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8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CD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34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837672"/>
    <w:multiLevelType w:val="hybridMultilevel"/>
    <w:tmpl w:val="8FCABBD4"/>
    <w:lvl w:ilvl="0" w:tplc="26BA2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A6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6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A5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E8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C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01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69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E8"/>
    <w:rsid w:val="00015EDC"/>
    <w:rsid w:val="00127BC4"/>
    <w:rsid w:val="001817E8"/>
    <w:rsid w:val="003F48AA"/>
    <w:rsid w:val="003F69F2"/>
    <w:rsid w:val="00486663"/>
    <w:rsid w:val="004C416C"/>
    <w:rsid w:val="0075559C"/>
    <w:rsid w:val="008149B0"/>
    <w:rsid w:val="00835216"/>
    <w:rsid w:val="00845CED"/>
    <w:rsid w:val="00AB03EE"/>
    <w:rsid w:val="00AD7B48"/>
    <w:rsid w:val="00B475E2"/>
    <w:rsid w:val="00C55DF6"/>
    <w:rsid w:val="00C74C9A"/>
    <w:rsid w:val="00C90352"/>
    <w:rsid w:val="00D15914"/>
    <w:rsid w:val="00D7567C"/>
    <w:rsid w:val="00DB1B96"/>
    <w:rsid w:val="00DD494F"/>
    <w:rsid w:val="00F4037C"/>
    <w:rsid w:val="00F5781B"/>
    <w:rsid w:val="00F85A96"/>
    <w:rsid w:val="00F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73FA"/>
  <w15:chartTrackingRefBased/>
  <w15:docId w15:val="{A6E44A62-E311-4176-9E8D-E9E3E1E2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HAMIDA</dc:creator>
  <cp:keywords/>
  <dc:description/>
  <cp:lastModifiedBy>RAOUDHA JERBI</cp:lastModifiedBy>
  <cp:revision>3</cp:revision>
  <dcterms:created xsi:type="dcterms:W3CDTF">2018-09-14T08:55:00Z</dcterms:created>
  <dcterms:modified xsi:type="dcterms:W3CDTF">2018-09-14T08:56:00Z</dcterms:modified>
</cp:coreProperties>
</file>