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95" w:rsidRPr="00580A71" w:rsidRDefault="00906695" w:rsidP="00850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2627FC">
        <w:rPr>
          <w:rFonts w:asciiTheme="majorBidi" w:hAnsiTheme="majorBidi" w:cstheme="majorBidi"/>
          <w:b/>
          <w:bCs/>
          <w:sz w:val="28"/>
          <w:szCs w:val="28"/>
        </w:rPr>
        <w:t xml:space="preserve">iche Action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40B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627FC">
        <w:rPr>
          <w:rFonts w:asciiTheme="majorBidi" w:hAnsiTheme="majorBidi" w:cstheme="majorBidi"/>
          <w:b/>
          <w:bCs/>
          <w:sz w:val="28"/>
          <w:szCs w:val="28"/>
        </w:rPr>
        <w:t>INVITATION DE DONNEURS D’ORDRE ETRANGERS</w:t>
      </w:r>
    </w:p>
    <w:p w:rsidR="00906695" w:rsidRDefault="00906695" w:rsidP="0085068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1C43" w:rsidRPr="0042784E" w:rsidRDefault="00401C43" w:rsidP="0085068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1C43" w:rsidRDefault="00906695" w:rsidP="008506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éfinition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401C43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1C43">
        <w:rPr>
          <w:rFonts w:asciiTheme="majorBidi" w:hAnsiTheme="majorBidi" w:cstheme="majorBidi"/>
          <w:sz w:val="24"/>
          <w:szCs w:val="24"/>
        </w:rPr>
        <w:t xml:space="preserve">Cette subvention est destinée aux entreprises exportatrices qui souhaitent inviter des importateurs potentiels de leurs produits ou services. </w:t>
      </w:r>
    </w:p>
    <w:p w:rsidR="00906695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0A71">
        <w:rPr>
          <w:rFonts w:asciiTheme="majorBidi" w:hAnsiTheme="majorBidi" w:cstheme="majorBidi"/>
          <w:sz w:val="24"/>
          <w:szCs w:val="24"/>
        </w:rPr>
        <w:t>Le donneur d’ordre est le représentant d</w:t>
      </w:r>
      <w:r>
        <w:rPr>
          <w:rFonts w:asciiTheme="majorBidi" w:hAnsiTheme="majorBidi" w:cstheme="majorBidi"/>
          <w:sz w:val="24"/>
          <w:szCs w:val="24"/>
        </w:rPr>
        <w:t>e</w:t>
      </w:r>
      <w:r w:rsidRPr="00580A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l’</w:t>
      </w:r>
      <w:r w:rsidRPr="00580A71">
        <w:rPr>
          <w:rFonts w:asciiTheme="majorBidi" w:hAnsiTheme="majorBidi" w:cstheme="majorBidi"/>
          <w:sz w:val="24"/>
          <w:szCs w:val="24"/>
        </w:rPr>
        <w:t xml:space="preserve">entreprise étrangère </w:t>
      </w:r>
      <w:r>
        <w:rPr>
          <w:rFonts w:asciiTheme="majorBidi" w:hAnsiTheme="majorBidi" w:cstheme="majorBidi"/>
          <w:sz w:val="24"/>
          <w:szCs w:val="24"/>
        </w:rPr>
        <w:t>qui</w:t>
      </w:r>
      <w:r w:rsidR="00401C4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à l’occasion de  son déplacement en Tunisie</w:t>
      </w:r>
      <w:r w:rsidR="00401C4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vise à importer et/</w:t>
      </w:r>
      <w:r w:rsidR="00401C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ou à sous-traiter des biens ou services tunisiens. </w:t>
      </w:r>
    </w:p>
    <w:p w:rsidR="00F1082E" w:rsidRPr="00401C43" w:rsidRDefault="00F1082E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06695" w:rsidRDefault="00906695" w:rsidP="008506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A15DAB" w:rsidRDefault="00B93E56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="00A15DAB"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906695" w:rsidRPr="005F567C" w:rsidRDefault="00906695" w:rsidP="0085068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67C">
        <w:rPr>
          <w:rFonts w:asciiTheme="majorBidi" w:hAnsiTheme="majorBidi" w:cstheme="majorBidi"/>
          <w:sz w:val="24"/>
          <w:szCs w:val="24"/>
        </w:rPr>
        <w:t>Résiden</w:t>
      </w:r>
      <w:r w:rsidR="004B0111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e.</w:t>
      </w:r>
    </w:p>
    <w:p w:rsidR="00906695" w:rsidRPr="002B04C0" w:rsidRDefault="00AE699A" w:rsidP="0085068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Agrée ;</w:t>
      </w:r>
      <w:r w:rsidR="00906695">
        <w:rPr>
          <w:rFonts w:asciiTheme="majorBidi" w:hAnsiTheme="majorBidi" w:cstheme="majorBidi"/>
          <w:sz w:val="24"/>
          <w:szCs w:val="24"/>
        </w:rPr>
        <w:t xml:space="preserve"> a</w:t>
      </w:r>
      <w:r w:rsidR="00906695" w:rsidRPr="005F567C">
        <w:rPr>
          <w:rFonts w:asciiTheme="majorBidi" w:hAnsiTheme="majorBidi" w:cstheme="majorBidi"/>
          <w:sz w:val="24"/>
          <w:szCs w:val="24"/>
        </w:rPr>
        <w:t>grément régissant les domaines d’activité (API, APIA, CEPEX, ONA…).</w:t>
      </w:r>
    </w:p>
    <w:p w:rsidR="00906695" w:rsidRDefault="00906695" w:rsidP="0085068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Produisant et/</w:t>
      </w:r>
      <w:r w:rsidR="004B0111">
        <w:rPr>
          <w:rFonts w:asciiTheme="majorBidi" w:hAnsiTheme="majorBidi" w:cstheme="majorBidi"/>
          <w:sz w:val="24"/>
          <w:szCs w:val="24"/>
        </w:rPr>
        <w:t xml:space="preserve"> </w:t>
      </w:r>
      <w:r w:rsidRPr="002B04C0">
        <w:rPr>
          <w:rFonts w:asciiTheme="majorBidi" w:hAnsiTheme="majorBidi" w:cstheme="majorBidi"/>
          <w:sz w:val="24"/>
          <w:szCs w:val="24"/>
        </w:rPr>
        <w:t>ou exportant des produits</w:t>
      </w:r>
      <w:r>
        <w:rPr>
          <w:rFonts w:asciiTheme="majorBidi" w:hAnsiTheme="majorBidi" w:cstheme="majorBidi"/>
          <w:sz w:val="24"/>
          <w:szCs w:val="24"/>
        </w:rPr>
        <w:t xml:space="preserve"> ou services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tunisiens.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</w:p>
    <w:p w:rsidR="004B0111" w:rsidRPr="00CB60E5" w:rsidRDefault="004B0111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06695" w:rsidRPr="008D0A10" w:rsidRDefault="00906695" w:rsidP="008506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906695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536"/>
        <w:gridCol w:w="4644"/>
      </w:tblGrid>
      <w:tr w:rsidR="00906695" w:rsidRPr="002B04C0" w:rsidTr="00241A9A">
        <w:trPr>
          <w:trHeight w:val="316"/>
        </w:trPr>
        <w:tc>
          <w:tcPr>
            <w:tcW w:w="4536" w:type="dxa"/>
            <w:shd w:val="clear" w:color="auto" w:fill="BFBFBF" w:themeFill="background1" w:themeFillShade="BF"/>
          </w:tcPr>
          <w:p w:rsidR="00906695" w:rsidRPr="00B81275" w:rsidRDefault="00906695" w:rsidP="0085068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812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644" w:type="dxa"/>
            <w:shd w:val="clear" w:color="auto" w:fill="BFBFBF" w:themeFill="background1" w:themeFillShade="BF"/>
          </w:tcPr>
          <w:p w:rsidR="00906695" w:rsidRPr="00B81275" w:rsidRDefault="00906695" w:rsidP="0085068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812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906695" w:rsidRPr="002B04C0" w:rsidTr="00241A9A">
        <w:trPr>
          <w:trHeight w:val="418"/>
        </w:trPr>
        <w:tc>
          <w:tcPr>
            <w:tcW w:w="4536" w:type="dxa"/>
          </w:tcPr>
          <w:p w:rsidR="00906695" w:rsidRPr="00321AD6" w:rsidRDefault="00B94A3B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906695"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="00906695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 w:rsidR="001D12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="00906695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 w:rsidR="001D12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="00906695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906695" w:rsidRPr="00321AD6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06695" w:rsidRPr="00321AD6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906695" w:rsidRPr="00321AD6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906695" w:rsidRPr="00321AD6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906695" w:rsidRPr="0014361C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 w:rsidR="00E24E2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06695" w:rsidRDefault="00B94A3B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906695"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="00E24E28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 Demande de soutien FOPRODEX : Invitation de donneurs d’ordre étrangers ».</w:t>
            </w:r>
          </w:p>
          <w:p w:rsidR="00906695" w:rsidRDefault="00B94A3B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590038"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="00590038"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 Note d’opportunité</w:t>
            </w:r>
            <w:r w:rsidR="0052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="00526A7C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Invitation de donneurs d’ordre étrangers</w:t>
            </w:r>
            <w:r w:rsidR="00590038"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</w:t>
            </w:r>
            <w:r w:rsidR="00906695"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906695" w:rsidRPr="002B04C0" w:rsidRDefault="00F279BC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Reçu de paiement au CEPEX d’une valeur de 50 dt correspondant aux frais de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traitement du dossier.</w:t>
            </w:r>
          </w:p>
        </w:tc>
        <w:tc>
          <w:tcPr>
            <w:tcW w:w="4644" w:type="dxa"/>
          </w:tcPr>
          <w:p w:rsidR="00906695" w:rsidRDefault="00B94A3B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▪</w:t>
            </w:r>
            <w:r w:rsidR="003D3BDC"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="003D3BDC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 w:rsidR="003D3B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déblocage</w:t>
            </w:r>
            <w:r w:rsidR="003D3BDC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FOPRODEX : Invitation de donneurs d’ordre étrangers ».</w:t>
            </w:r>
          </w:p>
          <w:p w:rsidR="00906695" w:rsidRPr="0014361C" w:rsidRDefault="00B94A3B" w:rsidP="0085068B">
            <w:pPr>
              <w:tabs>
                <w:tab w:val="left" w:pos="17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4A1123"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906695" w:rsidRDefault="00B94A3B" w:rsidP="0005251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052512">
              <w:rPr>
                <w:rFonts w:asciiTheme="majorBidi" w:hAnsiTheme="majorBidi" w:cstheme="majorBidi"/>
                <w:sz w:val="24"/>
                <w:szCs w:val="24"/>
              </w:rPr>
              <w:t>Formulaire</w:t>
            </w:r>
            <w:r w:rsidR="004516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1671" w:rsidRPr="004516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 R</w:t>
            </w:r>
            <w:r w:rsidR="0052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apport de mission confidentiel :</w:t>
            </w:r>
            <w:r w:rsidR="00451671" w:rsidRPr="004516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Invitation de donneurs d’ordre étrangers ».</w:t>
            </w:r>
            <w:r w:rsidR="009066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06695" w:rsidRDefault="00B94A3B" w:rsidP="00E21E1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430655">
              <w:rPr>
                <w:rFonts w:asciiTheme="majorBidi" w:hAnsiTheme="majorBidi" w:cstheme="majorBidi"/>
                <w:sz w:val="24"/>
                <w:szCs w:val="24"/>
              </w:rPr>
              <w:t>Le b</w:t>
            </w:r>
            <w:r w:rsidR="00906695">
              <w:rPr>
                <w:rFonts w:asciiTheme="majorBidi" w:hAnsiTheme="majorBidi" w:cstheme="majorBidi"/>
                <w:sz w:val="24"/>
                <w:szCs w:val="24"/>
              </w:rPr>
              <w:t>illet électronique de transport aérien ou maritime</w:t>
            </w:r>
            <w:r w:rsidR="00430655">
              <w:rPr>
                <w:rFonts w:ascii="Times New Roman" w:hAnsi="Times New Roman" w:cs="Times New Roman"/>
                <w:sz w:val="24"/>
                <w:szCs w:val="24"/>
              </w:rPr>
              <w:t xml:space="preserve"> en classe économique</w:t>
            </w:r>
            <w:r w:rsidR="00430655"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43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>
              <w:rPr>
                <w:rFonts w:asciiTheme="majorBidi" w:hAnsiTheme="majorBidi" w:cstheme="majorBidi"/>
                <w:sz w:val="24"/>
                <w:szCs w:val="24"/>
              </w:rPr>
              <w:t xml:space="preserve"> portant le cachet humide de l’agence et sur lequel doivent être indiquées</w:t>
            </w:r>
            <w:r w:rsidR="00AD3F0B">
              <w:rPr>
                <w:rFonts w:asciiTheme="majorBidi" w:hAnsiTheme="majorBidi" w:cstheme="majorBidi"/>
                <w:sz w:val="24"/>
                <w:szCs w:val="24"/>
              </w:rPr>
              <w:t xml:space="preserve"> obligatoirement</w:t>
            </w:r>
            <w:r w:rsidR="00906695">
              <w:rPr>
                <w:rFonts w:asciiTheme="majorBidi" w:hAnsiTheme="majorBidi" w:cstheme="majorBidi"/>
                <w:sz w:val="24"/>
                <w:szCs w:val="24"/>
              </w:rPr>
              <w:t xml:space="preserve"> les informations détaillées sur les différentes charges liées au coût du billet libellées </w:t>
            </w:r>
            <w:r w:rsidR="00906695" w:rsidRPr="00314CF2"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r w:rsidR="00906695" w:rsidRPr="00314CF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dinars tunisien</w:t>
            </w:r>
            <w:r w:rsidR="00E21E1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E21E1F" w:rsidRDefault="00E21E1F" w:rsidP="00E21E1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3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justificatifs</w:t>
            </w:r>
            <w:r w:rsidRPr="001A01B8">
              <w:rPr>
                <w:rFonts w:ascii="Times New Roman" w:hAnsi="Times New Roman" w:cs="Times New Roman"/>
                <w:sz w:val="24"/>
                <w:szCs w:val="24"/>
              </w:rPr>
              <w:t xml:space="preserve"> de paiement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billet de transport électronique (Facture +  extrait bancaire au nom de la société).</w:t>
            </w:r>
          </w:p>
          <w:p w:rsidR="00E21E1F" w:rsidRPr="00E21E1F" w:rsidRDefault="00E21E1F" w:rsidP="00E21E1F">
            <w:pPr>
              <w:ind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726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 paiement en espèce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726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ash) n’est pas remboursable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91652" w:rsidRDefault="00B94A3B" w:rsidP="0085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▪</w:t>
            </w:r>
            <w:r w:rsidR="00891652" w:rsidRPr="0014361C">
              <w:rPr>
                <w:rFonts w:asciiTheme="majorBidi" w:hAnsiTheme="majorBidi" w:cstheme="majorBidi"/>
                <w:sz w:val="24"/>
                <w:szCs w:val="24"/>
              </w:rPr>
              <w:t xml:space="preserve">Copie de la première page du passeport </w:t>
            </w:r>
            <w:r w:rsidR="00CF1D3F">
              <w:rPr>
                <w:rFonts w:asciiTheme="majorBidi" w:hAnsiTheme="majorBidi" w:cstheme="majorBidi"/>
                <w:sz w:val="24"/>
                <w:szCs w:val="24"/>
              </w:rPr>
              <w:t>accompagnée de la</w:t>
            </w:r>
            <w:r w:rsidR="00891652" w:rsidRPr="001436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91652" w:rsidRPr="0014361C">
              <w:rPr>
                <w:rFonts w:ascii="Times New Roman" w:hAnsi="Times New Roman" w:cs="Times New Roman"/>
                <w:sz w:val="24"/>
                <w:szCs w:val="24"/>
              </w:rPr>
              <w:t>copie de</w:t>
            </w:r>
            <w:r w:rsidR="00CF1D3F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r w:rsidR="00891652" w:rsidRPr="0014361C">
              <w:rPr>
                <w:rFonts w:ascii="Times New Roman" w:hAnsi="Times New Roman" w:cs="Times New Roman"/>
                <w:sz w:val="24"/>
                <w:szCs w:val="24"/>
              </w:rPr>
              <w:t xml:space="preserve"> page sur l</w:t>
            </w:r>
            <w:r w:rsidR="00CF1D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1652" w:rsidRPr="0014361C">
              <w:rPr>
                <w:rFonts w:ascii="Times New Roman" w:hAnsi="Times New Roman" w:cs="Times New Roman"/>
                <w:sz w:val="24"/>
                <w:szCs w:val="24"/>
              </w:rPr>
              <w:t>quelle est apposé le cachet</w:t>
            </w:r>
            <w:r w:rsidR="00A53909">
              <w:rPr>
                <w:rFonts w:ascii="Times New Roman" w:hAnsi="Times New Roman" w:cs="Times New Roman"/>
                <w:sz w:val="24"/>
                <w:szCs w:val="24"/>
              </w:rPr>
              <w:t xml:space="preserve"> d’entrée</w:t>
            </w:r>
            <w:r w:rsidR="00891652" w:rsidRPr="0014361C">
              <w:rPr>
                <w:rFonts w:ascii="Times New Roman" w:hAnsi="Times New Roman" w:cs="Times New Roman"/>
                <w:sz w:val="24"/>
                <w:szCs w:val="24"/>
              </w:rPr>
              <w:t xml:space="preserve"> (lisible)  </w:t>
            </w:r>
            <w:r w:rsidR="00A53909">
              <w:rPr>
                <w:rFonts w:ascii="Times New Roman" w:hAnsi="Times New Roman" w:cs="Times New Roman"/>
                <w:sz w:val="24"/>
                <w:szCs w:val="24"/>
              </w:rPr>
              <w:t>justifiant l’entrée</w:t>
            </w:r>
            <w:r w:rsidR="00891652" w:rsidRPr="0014361C">
              <w:rPr>
                <w:rFonts w:ascii="Times New Roman" w:hAnsi="Times New Roman" w:cs="Times New Roman"/>
                <w:sz w:val="24"/>
                <w:szCs w:val="24"/>
              </w:rPr>
              <w:t xml:space="preserve"> en Tunisie.</w:t>
            </w:r>
          </w:p>
          <w:p w:rsidR="00910443" w:rsidRDefault="00B94A3B" w:rsidP="008506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174B3C">
              <w:rPr>
                <w:rFonts w:asciiTheme="majorBidi" w:hAnsiTheme="majorBidi" w:cstheme="majorBidi"/>
                <w:sz w:val="24"/>
                <w:szCs w:val="24"/>
              </w:rPr>
              <w:t>les p</w:t>
            </w:r>
            <w:r w:rsidR="00910443" w:rsidRPr="0014361C">
              <w:rPr>
                <w:rFonts w:asciiTheme="majorBidi" w:hAnsiTheme="majorBidi" w:cstheme="majorBidi"/>
                <w:sz w:val="24"/>
                <w:szCs w:val="24"/>
              </w:rPr>
              <w:t>hotos prouvant la visite de donneurs d’ordres étrangers.</w:t>
            </w:r>
          </w:p>
          <w:p w:rsidR="00906695" w:rsidRPr="00921EE8" w:rsidRDefault="00B94A3B" w:rsidP="00921EE8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906695" w:rsidRPr="0014361C">
              <w:rPr>
                <w:rFonts w:asciiTheme="majorBidi" w:hAnsiTheme="majorBidi" w:cstheme="majorBidi"/>
                <w:sz w:val="24"/>
                <w:szCs w:val="24"/>
              </w:rPr>
              <w:t>Facture de l’hébergement de donneurs d’ordre étrangers au nom de l’entreprise bénéficiaire</w:t>
            </w:r>
            <w:r w:rsidR="00257C1F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  <w:r w:rsidR="00906695" w:rsidRPr="001436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1EE8" w:rsidRPr="00E73B9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accompagnée des justificatifs de paiement tel que indiqué ci-après dans le paragraphe : B- Déblocage – conditions.</w:t>
            </w:r>
          </w:p>
        </w:tc>
      </w:tr>
      <w:tr w:rsidR="0005190C" w:rsidRPr="002B04C0" w:rsidTr="00241A9A">
        <w:trPr>
          <w:trHeight w:val="418"/>
        </w:trPr>
        <w:tc>
          <w:tcPr>
            <w:tcW w:w="9180" w:type="dxa"/>
            <w:gridSpan w:val="2"/>
          </w:tcPr>
          <w:p w:rsidR="0005190C" w:rsidRDefault="0005190C" w:rsidP="0085068B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NB :</w:t>
            </w:r>
          </w:p>
          <w:p w:rsidR="0005190C" w:rsidRDefault="0005190C" w:rsidP="0085068B">
            <w:pPr>
              <w:pStyle w:val="Paragraphedeliste"/>
              <w:numPr>
                <w:ilvl w:val="0"/>
                <w:numId w:val="15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90C" w:rsidRPr="002B04C0" w:rsidRDefault="0005190C" w:rsidP="0085068B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906695" w:rsidRPr="008F3A71" w:rsidRDefault="00906695" w:rsidP="0085068B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06695" w:rsidRPr="008D0A10" w:rsidRDefault="00906695" w:rsidP="008506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Mode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et conditions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calcul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 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de la subvention :</w:t>
      </w:r>
    </w:p>
    <w:p w:rsidR="00014BA4" w:rsidRDefault="00906695" w:rsidP="0085068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14BA4">
        <w:rPr>
          <w:rFonts w:asciiTheme="majorBidi" w:hAnsiTheme="majorBidi" w:cstheme="majorBidi"/>
          <w:b/>
          <w:bCs/>
          <w:sz w:val="28"/>
          <w:szCs w:val="28"/>
          <w:u w:val="single"/>
        </w:rPr>
        <w:t>Instruction:</w:t>
      </w:r>
    </w:p>
    <w:p w:rsidR="00906695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3C38D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</w:t>
      </w:r>
      <w:r w:rsidR="00014BA4" w:rsidRPr="003C38D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FE270A" w:rsidRPr="00FE270A" w:rsidRDefault="00FE270A" w:rsidP="00FE270A">
      <w:pPr>
        <w:pStyle w:val="Paragraphedeliste"/>
        <w:numPr>
          <w:ilvl w:val="0"/>
          <w:numId w:val="28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Frais de dépôt de dossier d’une valeur de 50 dt. </w:t>
      </w:r>
    </w:p>
    <w:p w:rsidR="007E7039" w:rsidRPr="007E7039" w:rsidRDefault="007E7039" w:rsidP="0085068B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2807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906695" w:rsidRPr="00022807" w:rsidRDefault="00906695" w:rsidP="0085068B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2807">
        <w:rPr>
          <w:rFonts w:asciiTheme="majorBidi" w:hAnsiTheme="majorBidi" w:cstheme="majorBidi"/>
          <w:sz w:val="24"/>
          <w:szCs w:val="24"/>
        </w:rPr>
        <w:t>Not</w:t>
      </w:r>
      <w:r w:rsidR="00757AF3">
        <w:rPr>
          <w:rFonts w:asciiTheme="majorBidi" w:hAnsiTheme="majorBidi" w:cstheme="majorBidi"/>
          <w:sz w:val="24"/>
          <w:szCs w:val="24"/>
        </w:rPr>
        <w:t>e  d’opportunité validée par le service</w:t>
      </w:r>
      <w:r w:rsidRPr="00022807">
        <w:rPr>
          <w:rFonts w:asciiTheme="majorBidi" w:hAnsiTheme="majorBidi" w:cstheme="majorBidi"/>
          <w:sz w:val="24"/>
          <w:szCs w:val="24"/>
        </w:rPr>
        <w:t xml:space="preserve"> FOPOREX.</w:t>
      </w:r>
    </w:p>
    <w:p w:rsidR="00906695" w:rsidRPr="00022807" w:rsidRDefault="00B45ED3" w:rsidP="00516ECE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Nombre d’invitations couvert par la d</w:t>
      </w:r>
      <w:r w:rsidR="00516ECE">
        <w:rPr>
          <w:rFonts w:asciiTheme="majorBidi" w:hAnsiTheme="majorBidi" w:cstheme="majorBidi"/>
          <w:sz w:val="24"/>
          <w:szCs w:val="24"/>
        </w:rPr>
        <w:t>otation</w:t>
      </w:r>
      <w:r>
        <w:rPr>
          <w:rFonts w:asciiTheme="majorBidi" w:hAnsiTheme="majorBidi" w:cstheme="majorBidi"/>
          <w:sz w:val="24"/>
          <w:szCs w:val="24"/>
        </w:rPr>
        <w:t xml:space="preserve"> FOPRODEX : Maximum 2 invitations</w:t>
      </w:r>
      <w:r w:rsidR="00906695" w:rsidRPr="00022807">
        <w:rPr>
          <w:rFonts w:asciiTheme="majorBidi" w:hAnsiTheme="majorBidi" w:cstheme="majorBidi"/>
          <w:sz w:val="24"/>
          <w:szCs w:val="24"/>
        </w:rPr>
        <w:t>/ marché cible</w:t>
      </w:r>
      <w:r>
        <w:rPr>
          <w:rFonts w:asciiTheme="majorBidi" w:hAnsiTheme="majorBidi" w:cstheme="majorBidi"/>
          <w:sz w:val="24"/>
          <w:szCs w:val="24"/>
        </w:rPr>
        <w:t>,</w:t>
      </w:r>
      <w:r w:rsidR="00906695" w:rsidRPr="00022807">
        <w:rPr>
          <w:rFonts w:asciiTheme="majorBidi" w:hAnsiTheme="majorBidi" w:cstheme="majorBidi"/>
          <w:sz w:val="24"/>
          <w:szCs w:val="24"/>
        </w:rPr>
        <w:t xml:space="preserve"> tout au long de la vie de l’entreprise.</w:t>
      </w:r>
    </w:p>
    <w:p w:rsidR="00906695" w:rsidRPr="00022807" w:rsidRDefault="00390947" w:rsidP="0085068B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Nombre de donneurs d’ordre pris en compte dans la dotation FOPRODEX : Maximum 2 donneurs d’ordre</w:t>
      </w:r>
      <w:r w:rsidR="00906695" w:rsidRPr="00022807">
        <w:rPr>
          <w:rFonts w:asciiTheme="majorBidi" w:hAnsiTheme="majorBidi" w:cstheme="majorBidi"/>
          <w:sz w:val="24"/>
          <w:szCs w:val="24"/>
        </w:rPr>
        <w:t>/ mission.</w:t>
      </w:r>
    </w:p>
    <w:p w:rsidR="003C38D0" w:rsidRPr="000469B1" w:rsidRDefault="009B17F7" w:rsidP="0085068B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Nombre de jours pris en compte dans la dotation FOPRODEX : </w:t>
      </w:r>
      <w:r w:rsidR="00906695" w:rsidRPr="00022807">
        <w:rPr>
          <w:rFonts w:asciiTheme="majorBidi" w:hAnsiTheme="majorBidi" w:cstheme="majorBidi"/>
          <w:sz w:val="24"/>
          <w:szCs w:val="24"/>
        </w:rPr>
        <w:t>Maximum 5 jours/ mission/ client.</w:t>
      </w:r>
    </w:p>
    <w:p w:rsidR="003C38D0" w:rsidRPr="00BE4572" w:rsidRDefault="003C38D0" w:rsidP="0085068B">
      <w:pPr>
        <w:tabs>
          <w:tab w:val="left" w:pos="1134"/>
        </w:tabs>
        <w:spacing w:line="240" w:lineRule="auto"/>
        <w:ind w:left="72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E457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Mode de calcul :</w:t>
      </w:r>
    </w:p>
    <w:p w:rsidR="003C38D0" w:rsidRPr="00CA599B" w:rsidRDefault="003C38D0" w:rsidP="0085068B">
      <w:pPr>
        <w:pStyle w:val="Paragraphedeliste"/>
        <w:numPr>
          <w:ilvl w:val="0"/>
          <w:numId w:val="19"/>
        </w:numPr>
        <w:tabs>
          <w:tab w:val="left" w:pos="1134"/>
        </w:tabs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CA599B">
        <w:rPr>
          <w:rFonts w:asciiTheme="majorBidi" w:hAnsiTheme="majorBidi" w:cstheme="majorBidi"/>
          <w:b/>
          <w:bCs/>
          <w:sz w:val="24"/>
          <w:szCs w:val="24"/>
        </w:rPr>
        <w:t>Marchés traditionnels :</w:t>
      </w:r>
    </w:p>
    <w:p w:rsidR="003C38D0" w:rsidRPr="00575D25" w:rsidRDefault="003C38D0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D25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575D25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575D25">
        <w:rPr>
          <w:rFonts w:asciiTheme="majorBidi" w:hAnsiTheme="majorBidi" w:cstheme="majorBidi"/>
          <w:sz w:val="24"/>
          <w:szCs w:val="24"/>
        </w:rPr>
        <w:t xml:space="preserve"> = subvention uniquement, alors :</w:t>
      </w:r>
    </w:p>
    <w:p w:rsidR="003C38D0" w:rsidRDefault="003C38D0" w:rsidP="0085068B">
      <w:pPr>
        <w:pStyle w:val="Paragraphedeliste"/>
        <w:spacing w:line="240" w:lineRule="auto"/>
        <w:ind w:left="1440" w:firstLine="684"/>
        <w:jc w:val="both"/>
        <w:rPr>
          <w:rFonts w:asciiTheme="majorBidi" w:hAnsiTheme="majorBidi" w:cstheme="majorBidi"/>
          <w:sz w:val="24"/>
          <w:szCs w:val="24"/>
        </w:rPr>
      </w:pPr>
      <w:r w:rsidRPr="00D13A82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 xml:space="preserve"> = 30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 + (bonification 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%) = 35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% et </w:t>
      </w:r>
      <w:r w:rsidRPr="000B606B">
        <w:rPr>
          <w:rFonts w:asciiTheme="majorBidi" w:hAnsiTheme="majorBidi" w:cstheme="majorBidi"/>
          <w:b/>
          <w:bCs/>
          <w:sz w:val="24"/>
          <w:szCs w:val="24"/>
        </w:rPr>
        <w:t>TP</w:t>
      </w:r>
      <w:r>
        <w:rPr>
          <w:rFonts w:asciiTheme="majorBidi" w:hAnsiTheme="majorBidi" w:cstheme="majorBidi"/>
          <w:sz w:val="24"/>
          <w:szCs w:val="24"/>
        </w:rPr>
        <w:t xml:space="preserve"> = 0</w:t>
      </w:r>
    </w:p>
    <w:p w:rsidR="003C38D0" w:rsidRPr="00575D25" w:rsidRDefault="003C38D0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D25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575D25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575D25">
        <w:rPr>
          <w:rFonts w:asciiTheme="majorBidi" w:hAnsiTheme="majorBidi" w:cstheme="majorBidi"/>
          <w:sz w:val="24"/>
          <w:szCs w:val="24"/>
        </w:rPr>
        <w:t xml:space="preserve"> = subvention et prêt, alors :</w:t>
      </w:r>
    </w:p>
    <w:p w:rsidR="003C38D0" w:rsidRPr="003D2282" w:rsidRDefault="003C38D0" w:rsidP="0085068B">
      <w:pPr>
        <w:pStyle w:val="Paragraphedeliste"/>
        <w:spacing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0B606B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606B">
        <w:rPr>
          <w:rFonts w:asciiTheme="majorBidi" w:hAnsiTheme="majorBidi" w:cstheme="majorBidi"/>
          <w:sz w:val="24"/>
          <w:szCs w:val="24"/>
        </w:rPr>
        <w:t xml:space="preserve">= </w:t>
      </w:r>
      <w:r>
        <w:rPr>
          <w:rFonts w:asciiTheme="majorBidi" w:hAnsiTheme="majorBidi" w:cstheme="majorBidi"/>
          <w:sz w:val="24"/>
          <w:szCs w:val="24"/>
        </w:rPr>
        <w:t>3</w:t>
      </w:r>
      <w:r w:rsidRPr="000B606B">
        <w:rPr>
          <w:rFonts w:asciiTheme="majorBidi" w:hAnsiTheme="majorBidi" w:cstheme="majorBidi"/>
          <w:sz w:val="24"/>
          <w:szCs w:val="24"/>
        </w:rPr>
        <w:t xml:space="preserve">0 %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14BB4">
        <w:rPr>
          <w:rFonts w:asciiTheme="majorBidi" w:hAnsiTheme="majorBidi" w:cstheme="majorBidi"/>
          <w:sz w:val="24"/>
          <w:szCs w:val="24"/>
        </w:rPr>
        <w:t>et</w:t>
      </w:r>
      <w:r w:rsidRPr="00014BB4">
        <w:rPr>
          <w:rFonts w:asciiTheme="majorBidi" w:hAnsiTheme="majorBidi" w:cstheme="majorBidi"/>
          <w:b/>
          <w:bCs/>
          <w:sz w:val="24"/>
          <w:szCs w:val="24"/>
        </w:rPr>
        <w:t xml:space="preserve"> TP</w:t>
      </w:r>
      <w:r w:rsidRPr="00014BB4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>5</w:t>
      </w:r>
      <w:r w:rsidRPr="00014BB4">
        <w:rPr>
          <w:rFonts w:asciiTheme="majorBidi" w:hAnsiTheme="majorBidi" w:cstheme="majorBidi"/>
          <w:sz w:val="24"/>
          <w:szCs w:val="24"/>
        </w:rPr>
        <w:t>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 w:rsidRPr="00014BB4">
        <w:rPr>
          <w:rFonts w:asciiTheme="majorBidi" w:hAnsiTheme="majorBidi" w:cstheme="majorBidi"/>
          <w:sz w:val="24"/>
          <w:szCs w:val="24"/>
        </w:rPr>
        <w:t xml:space="preserve">%      </w:t>
      </w:r>
    </w:p>
    <w:p w:rsidR="003C38D0" w:rsidRPr="00575D25" w:rsidRDefault="003C38D0" w:rsidP="0085068B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575D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Marchés non traditionnels :</w:t>
      </w:r>
    </w:p>
    <w:p w:rsidR="00906695" w:rsidRDefault="003C38D0" w:rsidP="0085068B">
      <w:pPr>
        <w:pStyle w:val="Paragraphedeliste"/>
        <w:tabs>
          <w:tab w:val="left" w:pos="4710"/>
        </w:tabs>
        <w:spacing w:line="240" w:lineRule="auto"/>
        <w:ind w:left="144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</w:t>
      </w:r>
      <w:r w:rsidRPr="00E57D0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TS</w:t>
      </w:r>
      <w:r w:rsidRPr="00E57D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=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Pr="00E57D0F">
        <w:rPr>
          <w:rFonts w:asciiTheme="majorBidi" w:hAnsiTheme="majorBidi" w:cstheme="majorBidi"/>
          <w:color w:val="000000" w:themeColor="text1"/>
          <w:sz w:val="24"/>
          <w:szCs w:val="24"/>
        </w:rPr>
        <w:t>0 %</w:t>
      </w:r>
      <w:r w:rsidRPr="00D75FF6">
        <w:rPr>
          <w:rFonts w:asciiTheme="majorBidi" w:hAnsiTheme="majorBidi" w:cstheme="majorBidi"/>
          <w:color w:val="FF0000"/>
          <w:sz w:val="24"/>
          <w:szCs w:val="24"/>
        </w:rPr>
        <w:tab/>
      </w:r>
    </w:p>
    <w:p w:rsidR="003C38D0" w:rsidRPr="003C38D0" w:rsidRDefault="003C38D0" w:rsidP="0085068B">
      <w:pPr>
        <w:pStyle w:val="Paragraphedeliste"/>
        <w:tabs>
          <w:tab w:val="left" w:pos="4710"/>
        </w:tabs>
        <w:spacing w:line="240" w:lineRule="auto"/>
        <w:ind w:left="144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C38D0" w:rsidRPr="00C54650" w:rsidRDefault="00014BA4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465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 :</w:t>
      </w:r>
    </w:p>
    <w:p w:rsidR="003C38D0" w:rsidRDefault="003C38D0" w:rsidP="0085068B">
      <w:pPr>
        <w:pStyle w:val="Paragraphedeliste"/>
        <w:spacing w:line="240" w:lineRule="auto"/>
        <w:ind w:left="87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065CD" w:rsidRPr="003C38D0" w:rsidRDefault="008065CD" w:rsidP="0085068B">
      <w:pPr>
        <w:pStyle w:val="Paragraphedeliste"/>
        <w:spacing w:line="240" w:lineRule="auto"/>
        <w:ind w:left="87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3227" w:type="dxa"/>
        <w:tblLook w:val="04A0"/>
      </w:tblPr>
      <w:tblGrid>
        <w:gridCol w:w="3969"/>
      </w:tblGrid>
      <w:tr w:rsidR="00906695" w:rsidTr="003C38D0">
        <w:trPr>
          <w:trHeight w:val="488"/>
        </w:trPr>
        <w:tc>
          <w:tcPr>
            <w:tcW w:w="3969" w:type="dxa"/>
            <w:shd w:val="clear" w:color="auto" w:fill="F2F2F2" w:themeFill="background1" w:themeFillShade="F2"/>
          </w:tcPr>
          <w:p w:rsidR="005056EB" w:rsidRPr="005056EB" w:rsidRDefault="005056EB" w:rsidP="0085068B">
            <w:pPr>
              <w:pStyle w:val="Paragraphedeliste"/>
              <w:ind w:left="0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906695" w:rsidRDefault="003C38D0" w:rsidP="0085068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VSi = 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FpS + FpT 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*  TS</m:t>
              </m:r>
            </m:oMath>
            <w:r w:rsidR="00906695" w:rsidRPr="003C38D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</w:p>
          <w:p w:rsidR="005056EB" w:rsidRPr="003C38D0" w:rsidRDefault="005056EB" w:rsidP="0085068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F4388" w:rsidRDefault="00EF4388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06695" w:rsidRDefault="00EF4388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EF4388" w:rsidRPr="009B722D" w:rsidRDefault="00EF4388" w:rsidP="009B722D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Fp</w:t>
      </w:r>
      <w:r w:rsidR="0084666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54650">
        <w:rPr>
          <w:rFonts w:asciiTheme="majorBidi" w:hAnsiTheme="majorBidi" w:cstheme="majorBidi"/>
          <w:sz w:val="24"/>
          <w:szCs w:val="24"/>
        </w:rPr>
        <w:t> </w:t>
      </w:r>
      <w:r w:rsidR="008D170B">
        <w:rPr>
          <w:rFonts w:asciiTheme="majorBidi" w:hAnsiTheme="majorBidi" w:cstheme="majorBidi"/>
          <w:sz w:val="24"/>
          <w:szCs w:val="24"/>
        </w:rPr>
        <w:t>: Frais prévisionnels du</w:t>
      </w:r>
      <w:r w:rsidR="00846667">
        <w:rPr>
          <w:rFonts w:asciiTheme="majorBidi" w:hAnsiTheme="majorBidi" w:cstheme="majorBidi"/>
          <w:sz w:val="24"/>
          <w:szCs w:val="24"/>
        </w:rPr>
        <w:t xml:space="preserve"> séjour</w:t>
      </w:r>
      <w:r w:rsidR="009B722D">
        <w:rPr>
          <w:rFonts w:asciiTheme="majorBidi" w:hAnsiTheme="majorBidi" w:cstheme="majorBidi"/>
          <w:sz w:val="24"/>
          <w:szCs w:val="24"/>
        </w:rPr>
        <w:t xml:space="preserve"> </w:t>
      </w:r>
      <w:r w:rsidR="00D549B2">
        <w:rPr>
          <w:rFonts w:asciiTheme="majorBidi" w:hAnsiTheme="majorBidi" w:cstheme="majorBidi"/>
          <w:sz w:val="24"/>
          <w:szCs w:val="24"/>
        </w:rPr>
        <w:t>=</w:t>
      </w:r>
      <w:r w:rsidR="00D549B2" w:rsidRPr="00D549B2">
        <w:rPr>
          <w:rFonts w:asciiTheme="majorBidi" w:hAnsiTheme="majorBidi" w:cstheme="majorBidi"/>
          <w:sz w:val="24"/>
          <w:szCs w:val="24"/>
        </w:rPr>
        <w:t xml:space="preserve"> </w:t>
      </w:r>
      <w:r w:rsidR="00D549B2" w:rsidRPr="001874EF">
        <w:rPr>
          <w:rFonts w:asciiTheme="majorBidi" w:hAnsiTheme="majorBidi" w:cstheme="majorBidi"/>
          <w:sz w:val="24"/>
          <w:szCs w:val="24"/>
        </w:rPr>
        <w:t>150</w:t>
      </w:r>
      <w:r w:rsidR="00D549B2">
        <w:rPr>
          <w:rFonts w:asciiTheme="majorBidi" w:hAnsiTheme="majorBidi" w:cstheme="majorBidi"/>
          <w:sz w:val="24"/>
          <w:szCs w:val="24"/>
        </w:rPr>
        <w:t xml:space="preserve"> </w:t>
      </w:r>
      <w:r w:rsidR="00D549B2" w:rsidRPr="001874EF">
        <w:rPr>
          <w:rFonts w:asciiTheme="majorBidi" w:hAnsiTheme="majorBidi" w:cstheme="majorBidi"/>
          <w:sz w:val="24"/>
          <w:szCs w:val="24"/>
        </w:rPr>
        <w:t>*</w:t>
      </w:r>
      <w:r w:rsidR="00D549B2">
        <w:rPr>
          <w:rFonts w:asciiTheme="majorBidi" w:hAnsiTheme="majorBidi" w:cstheme="majorBidi"/>
          <w:sz w:val="24"/>
          <w:szCs w:val="24"/>
        </w:rPr>
        <w:t xml:space="preserve"> </w:t>
      </w:r>
      <w:r w:rsidR="00D549B2" w:rsidRPr="001874EF">
        <w:rPr>
          <w:rFonts w:asciiTheme="majorBidi" w:hAnsiTheme="majorBidi" w:cstheme="majorBidi"/>
          <w:sz w:val="24"/>
          <w:szCs w:val="24"/>
        </w:rPr>
        <w:t>n</w:t>
      </w:r>
      <w:r w:rsidR="00D549B2">
        <w:rPr>
          <w:rFonts w:asciiTheme="majorBidi" w:hAnsiTheme="majorBidi" w:cstheme="majorBidi"/>
          <w:sz w:val="24"/>
          <w:szCs w:val="24"/>
        </w:rPr>
        <w:t>om</w:t>
      </w:r>
      <w:r w:rsidR="00D549B2" w:rsidRPr="001874EF">
        <w:rPr>
          <w:rFonts w:asciiTheme="majorBidi" w:hAnsiTheme="majorBidi" w:cstheme="majorBidi"/>
          <w:sz w:val="24"/>
          <w:szCs w:val="24"/>
        </w:rPr>
        <w:t>br</w:t>
      </w:r>
      <w:r w:rsidR="00D549B2">
        <w:rPr>
          <w:rFonts w:asciiTheme="majorBidi" w:hAnsiTheme="majorBidi" w:cstheme="majorBidi"/>
          <w:sz w:val="24"/>
          <w:szCs w:val="24"/>
        </w:rPr>
        <w:t xml:space="preserve">e de jours prévisionnels avec un plafond de </w:t>
      </w:r>
      <w:r w:rsidR="00D37C72">
        <w:rPr>
          <w:rFonts w:asciiTheme="majorBidi" w:hAnsiTheme="majorBidi" w:cstheme="majorBidi"/>
          <w:sz w:val="24"/>
          <w:szCs w:val="24"/>
        </w:rPr>
        <w:t>5</w:t>
      </w:r>
      <w:r w:rsidR="00D549B2">
        <w:rPr>
          <w:rFonts w:asciiTheme="majorBidi" w:hAnsiTheme="majorBidi" w:cstheme="majorBidi"/>
          <w:sz w:val="24"/>
          <w:szCs w:val="24"/>
        </w:rPr>
        <w:t xml:space="preserve"> jours pour le séjour en Tunisie.</w:t>
      </w:r>
    </w:p>
    <w:p w:rsidR="00495F52" w:rsidRDefault="00EF4388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Fp</w:t>
      </w:r>
      <w:r w:rsidR="0084666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8D170B">
        <w:rPr>
          <w:rFonts w:asciiTheme="majorBidi" w:hAnsiTheme="majorBidi" w:cstheme="majorBidi"/>
          <w:sz w:val="24"/>
          <w:szCs w:val="24"/>
        </w:rPr>
        <w:t> : Frais prévisionnels du</w:t>
      </w:r>
      <w:r w:rsidRPr="00C54650">
        <w:rPr>
          <w:rFonts w:asciiTheme="majorBidi" w:hAnsiTheme="majorBidi" w:cstheme="majorBidi"/>
          <w:sz w:val="24"/>
          <w:szCs w:val="24"/>
        </w:rPr>
        <w:t xml:space="preserve"> transport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4650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D170B">
        <w:rPr>
          <w:rFonts w:asciiTheme="majorBidi" w:hAnsiTheme="majorBidi" w:cstheme="majorBidi"/>
          <w:sz w:val="24"/>
          <w:szCs w:val="24"/>
        </w:rPr>
        <w:t>valeur prévisionnelle du (des) billet(s)</w:t>
      </w:r>
      <w:r w:rsidR="008F42DF">
        <w:rPr>
          <w:rFonts w:asciiTheme="majorBidi" w:hAnsiTheme="majorBidi" w:cstheme="majorBidi"/>
          <w:sz w:val="24"/>
          <w:szCs w:val="24"/>
        </w:rPr>
        <w:t xml:space="preserve"> d’avion.</w:t>
      </w:r>
    </w:p>
    <w:p w:rsidR="008F42DF" w:rsidRPr="00C54650" w:rsidRDefault="008F42DF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C54650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</w:t>
      </w:r>
      <w:r w:rsidRPr="00C54650">
        <w:rPr>
          <w:rFonts w:asciiTheme="majorBidi" w:hAnsiTheme="majorBidi" w:cstheme="majorBidi"/>
          <w:sz w:val="24"/>
          <w:szCs w:val="24"/>
        </w:rPr>
        <w:t xml:space="preserve"> subvention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C54650">
        <w:rPr>
          <w:rFonts w:asciiTheme="majorBidi" w:hAnsiTheme="majorBidi" w:cstheme="majorBidi"/>
          <w:sz w:val="24"/>
          <w:szCs w:val="24"/>
        </w:rPr>
        <w:t xml:space="preserve"> </w:t>
      </w:r>
    </w:p>
    <w:p w:rsidR="008F42DF" w:rsidRPr="00C54650" w:rsidRDefault="008F42DF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TP :</w:t>
      </w:r>
      <w:r>
        <w:rPr>
          <w:rFonts w:asciiTheme="majorBidi" w:hAnsiTheme="majorBidi" w:cstheme="majorBidi"/>
          <w:sz w:val="24"/>
          <w:szCs w:val="24"/>
        </w:rPr>
        <w:t xml:space="preserve"> Taux du</w:t>
      </w:r>
      <w:r w:rsidRPr="00C54650">
        <w:rPr>
          <w:rFonts w:asciiTheme="majorBidi" w:hAnsiTheme="majorBidi" w:cstheme="majorBidi"/>
          <w:sz w:val="24"/>
          <w:szCs w:val="24"/>
        </w:rPr>
        <w:t xml:space="preserve"> prêt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F42DF" w:rsidRPr="008F42DF" w:rsidRDefault="008F42DF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54AE" w:rsidRPr="007E54AE" w:rsidRDefault="00906695" w:rsidP="0085068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5F52">
        <w:rPr>
          <w:rFonts w:asciiTheme="majorBidi" w:hAnsiTheme="majorBidi" w:cstheme="majorBidi"/>
          <w:b/>
          <w:bCs/>
          <w:sz w:val="28"/>
          <w:szCs w:val="28"/>
          <w:u w:val="single"/>
        </w:rPr>
        <w:t>Déblocage:</w:t>
      </w:r>
    </w:p>
    <w:p w:rsidR="00906695" w:rsidRDefault="00495F52" w:rsidP="0085068B">
      <w:pPr>
        <w:pStyle w:val="Paragraphedeliste"/>
        <w:spacing w:line="240" w:lineRule="auto"/>
        <w:ind w:left="87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E54A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Conditions : </w:t>
      </w:r>
    </w:p>
    <w:p w:rsidR="00FA5EDB" w:rsidRDefault="00FA5EDB" w:rsidP="00FA5EDB">
      <w:pPr>
        <w:pStyle w:val="Paragraphedeliste"/>
        <w:numPr>
          <w:ilvl w:val="0"/>
          <w:numId w:val="24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date limite de dépôt du dossier de déblocage ne doit pas d</w:t>
      </w:r>
      <w:r w:rsidR="00AF4EE6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AF4EE6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avec une prolongation d’un mois. Au-delà de cette échéance, le dossier doit être soumis à l’examen de la commission. Au delà de 105 jours de retard non justifié, le dossier sera rejeté automatiquement.</w:t>
      </w:r>
      <w:r w:rsidR="00A65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B49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543B2D" w:rsidRPr="002B70F6" w:rsidRDefault="00543B2D" w:rsidP="00543B2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</w:t>
      </w:r>
      <w:r w:rsidR="00A65B49">
        <w:rPr>
          <w:rFonts w:asciiTheme="majorBidi" w:hAnsiTheme="majorBidi" w:cstheme="majorBidi"/>
          <w:sz w:val="24"/>
          <w:szCs w:val="24"/>
        </w:rPr>
        <w:t>n mois. Une dérogation</w:t>
      </w:r>
      <w:r>
        <w:rPr>
          <w:rFonts w:asciiTheme="majorBidi" w:hAnsiTheme="majorBidi" w:cstheme="majorBidi"/>
          <w:sz w:val="24"/>
          <w:szCs w:val="24"/>
        </w:rPr>
        <w:t xml:space="preserve"> sera accordée aux entreprises ayant déposé une demande pour la première fois.</w:t>
      </w:r>
    </w:p>
    <w:p w:rsidR="002C0996" w:rsidRDefault="00755F2F" w:rsidP="0085068B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Rapport validé par le service FOPRODEX</w:t>
      </w:r>
      <w:r w:rsidR="00906695" w:rsidRPr="00755F2F">
        <w:rPr>
          <w:rFonts w:asciiTheme="majorBidi" w:hAnsiTheme="majorBidi" w:cstheme="majorBidi"/>
          <w:sz w:val="24"/>
          <w:szCs w:val="24"/>
        </w:rPr>
        <w:t>.</w:t>
      </w:r>
    </w:p>
    <w:p w:rsidR="0090389B" w:rsidRPr="0090389B" w:rsidRDefault="0090389B" w:rsidP="0090389B">
      <w:pPr>
        <w:pStyle w:val="Paragraphedeliste"/>
        <w:numPr>
          <w:ilvl w:val="0"/>
          <w:numId w:val="2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Conformité par rapport à la décision.</w:t>
      </w:r>
    </w:p>
    <w:p w:rsidR="002C0996" w:rsidRPr="00F1638B" w:rsidRDefault="002C0996" w:rsidP="0085068B">
      <w:pPr>
        <w:pStyle w:val="Paragraphedeliste"/>
        <w:numPr>
          <w:ilvl w:val="0"/>
          <w:numId w:val="2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Tout paiement doit être justifié par la présentation d’une facture  (Originale ou copie conforme) accompagnée des pièces ci-après :</w:t>
      </w:r>
    </w:p>
    <w:p w:rsidR="002C0996" w:rsidRPr="00F1638B" w:rsidRDefault="002C0996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Pour les paiements par carte de crédit :</w:t>
      </w:r>
      <w:r w:rsidRPr="00F1638B">
        <w:rPr>
          <w:rFonts w:ascii="Times New Roman" w:hAnsi="Times New Roman" w:cs="Times New Roman"/>
          <w:sz w:val="24"/>
          <w:szCs w:val="24"/>
        </w:rPr>
        <w:t xml:space="preserve"> Extrait de compte au nom de la société portant le cachet  humide de la banque.</w:t>
      </w:r>
    </w:p>
    <w:p w:rsidR="002C0996" w:rsidRPr="00F1638B" w:rsidRDefault="002C0996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chèque : Copie du chèque avec un extrait de compte au nom de la société portant le  cachet humide de la banque.</w:t>
      </w:r>
    </w:p>
    <w:p w:rsidR="00906695" w:rsidRPr="002B2C54" w:rsidRDefault="002C0996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virement bancaire : Avis de débit bancaire/swift avec un extrait de compte au nom de la société  portant le cachet humide de la banque.</w:t>
      </w:r>
      <w:r w:rsidR="00906695" w:rsidRPr="002C0996">
        <w:rPr>
          <w:rFonts w:asciiTheme="majorBidi" w:hAnsiTheme="majorBidi" w:cstheme="majorBidi"/>
          <w:sz w:val="24"/>
          <w:szCs w:val="24"/>
        </w:rPr>
        <w:t xml:space="preserve"> </w:t>
      </w:r>
    </w:p>
    <w:p w:rsidR="002B2C54" w:rsidRDefault="002B2C54" w:rsidP="0085068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2C54">
        <w:rPr>
          <w:rFonts w:asciiTheme="majorBidi" w:hAnsiTheme="majorBidi" w:cstheme="majorBidi"/>
          <w:sz w:val="24"/>
          <w:szCs w:val="24"/>
        </w:rPr>
        <w:t>Les justificatifs de paiement doivent correspondre aux  </w:t>
      </w:r>
      <w:r w:rsidRPr="002B2C54">
        <w:rPr>
          <w:rFonts w:asciiTheme="majorBidi" w:hAnsiTheme="majorBidi" w:cstheme="majorBidi"/>
          <w:sz w:val="24"/>
          <w:szCs w:val="24"/>
          <w:u w:val="single"/>
        </w:rPr>
        <w:t>montants</w:t>
      </w:r>
      <w:r w:rsidRPr="002B2C54">
        <w:rPr>
          <w:rFonts w:asciiTheme="majorBidi" w:hAnsiTheme="majorBidi" w:cstheme="majorBidi"/>
          <w:sz w:val="24"/>
          <w:szCs w:val="24"/>
        </w:rPr>
        <w:t xml:space="preserve"> et </w:t>
      </w:r>
      <w:r w:rsidRPr="002B2C54">
        <w:rPr>
          <w:rFonts w:asciiTheme="majorBidi" w:hAnsiTheme="majorBidi" w:cstheme="majorBidi"/>
          <w:sz w:val="24"/>
          <w:szCs w:val="24"/>
          <w:u w:val="single"/>
        </w:rPr>
        <w:t>échéances</w:t>
      </w:r>
      <w:r w:rsidRPr="002B2C54">
        <w:rPr>
          <w:rFonts w:asciiTheme="majorBidi" w:hAnsiTheme="majorBidi" w:cstheme="majorBidi"/>
          <w:sz w:val="24"/>
          <w:szCs w:val="24"/>
        </w:rPr>
        <w:t xml:space="preserve"> indiqués dans la décision ; le cas échéant la subvention ne sera pas accordée.</w:t>
      </w:r>
    </w:p>
    <w:p w:rsidR="007A07D7" w:rsidRPr="00F1638B" w:rsidRDefault="007A07D7" w:rsidP="0085068B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Le paiement en espèces (Cash) n’est pas remboursable.</w:t>
      </w:r>
    </w:p>
    <w:p w:rsidR="007A07D7" w:rsidRDefault="007A07D7" w:rsidP="0085068B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Tous les montants sont calculés hors taxe.</w:t>
      </w:r>
    </w:p>
    <w:p w:rsidR="0012033B" w:rsidRPr="00F1638B" w:rsidRDefault="0012033B" w:rsidP="0085068B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 xml:space="preserve">Les frais additionnels indiqués sur le billet électronique (FEES, frais de service,  timbre, excédant de bagages, etc…) ne sont pas pris en compte dans le calcul de la subvention. </w:t>
      </w:r>
    </w:p>
    <w:p w:rsidR="0012033B" w:rsidRPr="00F1638B" w:rsidRDefault="0012033B" w:rsidP="0085068B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Nombre de jour retenu : Minimum entre le nombre de jour indiqué sur la décision et le nombre de jour réel.</w:t>
      </w:r>
    </w:p>
    <w:p w:rsidR="0012033B" w:rsidRPr="00F1638B" w:rsidRDefault="0012033B" w:rsidP="0085068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Les factures 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</w:r>
    </w:p>
    <w:p w:rsidR="0012033B" w:rsidRPr="00F1638B" w:rsidRDefault="0012033B" w:rsidP="0085068B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836C2A" w:rsidRDefault="00836C2A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06695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36C2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7713DF" w:rsidRPr="00836C2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1F650F" w:rsidRPr="00D90F34" w:rsidRDefault="001F650F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06695" w:rsidRPr="00D90F34" w:rsidRDefault="00906695" w:rsidP="0085068B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0F34">
        <w:rPr>
          <w:rFonts w:asciiTheme="majorBidi" w:hAnsiTheme="majorBidi" w:cstheme="majorBidi"/>
          <w:b/>
          <w:bCs/>
          <w:sz w:val="24"/>
          <w:szCs w:val="24"/>
        </w:rPr>
        <w:t>Marchés traditionnels :</w:t>
      </w:r>
    </w:p>
    <w:p w:rsidR="00906695" w:rsidRDefault="0082104E" w:rsidP="0085068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>éblocage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06695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906695">
        <w:rPr>
          <w:rFonts w:asciiTheme="majorBidi" w:hAnsiTheme="majorBidi" w:cstheme="majorBidi"/>
          <w:sz w:val="24"/>
          <w:szCs w:val="24"/>
        </w:rPr>
        <w:t xml:space="preserve"> = subvention uniquement</w:t>
      </w:r>
      <w:r>
        <w:rPr>
          <w:rFonts w:asciiTheme="majorBidi" w:hAnsiTheme="majorBidi" w:cstheme="majorBidi"/>
          <w:sz w:val="24"/>
          <w:szCs w:val="24"/>
        </w:rPr>
        <w:t>,</w:t>
      </w:r>
      <w:r w:rsidR="00906695">
        <w:rPr>
          <w:rFonts w:asciiTheme="majorBidi" w:hAnsiTheme="majorBidi" w:cstheme="majorBidi"/>
          <w:sz w:val="24"/>
          <w:szCs w:val="24"/>
        </w:rPr>
        <w:t xml:space="preserve"> alors :</w:t>
      </w:r>
      <w:r w:rsidR="00F66DB6">
        <w:rPr>
          <w:rFonts w:asciiTheme="majorBidi" w:hAnsiTheme="majorBidi" w:cstheme="majorBidi"/>
          <w:sz w:val="24"/>
          <w:szCs w:val="24"/>
        </w:rPr>
        <w:t xml:space="preserve">  </w:t>
      </w:r>
    </w:p>
    <w:p w:rsidR="00906695" w:rsidRDefault="00906695" w:rsidP="0085068B">
      <w:pPr>
        <w:pStyle w:val="Paragraphedeliste"/>
        <w:spacing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D13A82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 xml:space="preserve"> = 30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 + (bonification 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%) = 35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</w:t>
      </w:r>
    </w:p>
    <w:p w:rsidR="00906695" w:rsidRDefault="0082104E" w:rsidP="0085068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Si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 xml:space="preserve">éblocage </w:t>
      </w:r>
      <w:r w:rsidR="00906695">
        <w:rPr>
          <w:rFonts w:asciiTheme="majorBidi" w:hAnsiTheme="majorBidi" w:cstheme="majorBidi"/>
          <w:sz w:val="24"/>
          <w:szCs w:val="24"/>
        </w:rPr>
        <w:t xml:space="preserve">= subvention et prêt  </w:t>
      </w:r>
      <w:r>
        <w:rPr>
          <w:rFonts w:asciiTheme="majorBidi" w:hAnsiTheme="majorBidi" w:cstheme="majorBidi"/>
          <w:sz w:val="24"/>
          <w:szCs w:val="24"/>
        </w:rPr>
        <w:t>et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906695">
        <w:rPr>
          <w:rFonts w:asciiTheme="majorBidi" w:hAnsiTheme="majorBidi" w:cstheme="majorBidi"/>
          <w:sz w:val="24"/>
          <w:szCs w:val="24"/>
        </w:rPr>
        <w:t xml:space="preserve"> = subvention uniquement</w:t>
      </w:r>
      <w:r>
        <w:rPr>
          <w:rFonts w:asciiTheme="majorBidi" w:hAnsiTheme="majorBidi" w:cstheme="majorBidi"/>
          <w:sz w:val="24"/>
          <w:szCs w:val="24"/>
        </w:rPr>
        <w:t>,</w:t>
      </w:r>
      <w:r w:rsidR="00906695">
        <w:rPr>
          <w:rFonts w:asciiTheme="majorBidi" w:hAnsiTheme="majorBidi" w:cstheme="majorBidi"/>
          <w:sz w:val="24"/>
          <w:szCs w:val="24"/>
        </w:rPr>
        <w:t xml:space="preserve"> alors :</w:t>
      </w:r>
      <w:r w:rsidR="00F66DB6">
        <w:rPr>
          <w:rFonts w:asciiTheme="majorBidi" w:hAnsiTheme="majorBidi" w:cstheme="majorBidi"/>
          <w:sz w:val="24"/>
          <w:szCs w:val="24"/>
        </w:rPr>
        <w:t xml:space="preserve"> </w:t>
      </w:r>
    </w:p>
    <w:p w:rsidR="0082104E" w:rsidRDefault="0082104E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D13A82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 xml:space="preserve"> = 30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 + (bonification 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%) = 35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</w:t>
      </w:r>
    </w:p>
    <w:p w:rsidR="00906695" w:rsidRDefault="00A8067F" w:rsidP="0085068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 xml:space="preserve">éblocage </w:t>
      </w:r>
      <w:r w:rsidR="00906695">
        <w:rPr>
          <w:rFonts w:asciiTheme="majorBidi" w:hAnsiTheme="majorBidi" w:cstheme="majorBidi"/>
          <w:sz w:val="24"/>
          <w:szCs w:val="24"/>
        </w:rPr>
        <w:t>=</w:t>
      </w:r>
      <w:r w:rsidR="00906695" w:rsidRPr="006656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906695">
        <w:rPr>
          <w:rFonts w:asciiTheme="majorBidi" w:hAnsiTheme="majorBidi" w:cstheme="majorBidi"/>
          <w:sz w:val="24"/>
          <w:szCs w:val="24"/>
        </w:rPr>
        <w:t xml:space="preserve"> = subvention et prêt</w:t>
      </w:r>
      <w:r>
        <w:rPr>
          <w:rFonts w:asciiTheme="majorBidi" w:hAnsiTheme="majorBidi" w:cstheme="majorBidi"/>
          <w:sz w:val="24"/>
          <w:szCs w:val="24"/>
        </w:rPr>
        <w:t>,</w:t>
      </w:r>
      <w:r w:rsidR="00906695">
        <w:rPr>
          <w:rFonts w:asciiTheme="majorBidi" w:hAnsiTheme="majorBidi" w:cstheme="majorBidi"/>
          <w:sz w:val="24"/>
          <w:szCs w:val="24"/>
        </w:rPr>
        <w:t xml:space="preserve"> alors :</w:t>
      </w:r>
    </w:p>
    <w:p w:rsidR="00906695" w:rsidRPr="00C81CEA" w:rsidRDefault="00906695" w:rsidP="0085068B">
      <w:pPr>
        <w:pStyle w:val="Paragraphedeliste"/>
        <w:spacing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61206E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>= 30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% </w:t>
      </w:r>
    </w:p>
    <w:p w:rsidR="00906695" w:rsidRPr="00D90F34" w:rsidRDefault="00906695" w:rsidP="0085068B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0F34">
        <w:rPr>
          <w:rFonts w:asciiTheme="majorBidi" w:hAnsiTheme="majorBidi" w:cstheme="majorBidi"/>
          <w:b/>
          <w:bCs/>
          <w:sz w:val="24"/>
          <w:szCs w:val="24"/>
        </w:rPr>
        <w:t>Marchés non traditionnels :</w:t>
      </w:r>
    </w:p>
    <w:p w:rsidR="00906695" w:rsidRDefault="00A8067F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906695" w:rsidRPr="00A8067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06695">
        <w:rPr>
          <w:rFonts w:asciiTheme="majorBidi" w:hAnsiTheme="majorBidi" w:cstheme="majorBidi"/>
          <w:sz w:val="24"/>
          <w:szCs w:val="24"/>
        </w:rPr>
        <w:t xml:space="preserve"> = 40 %</w:t>
      </w:r>
    </w:p>
    <w:p w:rsidR="008D44A6" w:rsidRDefault="008D44A6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06695" w:rsidRPr="008D44A6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D44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="007713DF" w:rsidRPr="008D44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8D44A6" w:rsidRPr="005C0437" w:rsidRDefault="008D44A6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376" w:type="dxa"/>
        <w:tblLook w:val="04A0"/>
      </w:tblPr>
      <w:tblGrid>
        <w:gridCol w:w="5670"/>
      </w:tblGrid>
      <w:tr w:rsidR="00906695" w:rsidTr="00875B85">
        <w:trPr>
          <w:trHeight w:val="877"/>
        </w:trPr>
        <w:tc>
          <w:tcPr>
            <w:tcW w:w="5670" w:type="dxa"/>
            <w:shd w:val="clear" w:color="auto" w:fill="F2F2F2" w:themeFill="background1" w:themeFillShade="F2"/>
          </w:tcPr>
          <w:p w:rsidR="00875B85" w:rsidRPr="00875B85" w:rsidRDefault="00875B85" w:rsidP="0085068B">
            <w:pPr>
              <w:pStyle w:val="Paragraphedeliste"/>
              <w:ind w:left="0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906695" w:rsidRDefault="003A611C" w:rsidP="0085068B">
            <w:pPr>
              <w:pStyle w:val="Paragraphedeliste"/>
              <w:ind w:left="0"/>
              <w:jc w:val="center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VrS = min [ Vsi, </m:t>
                </m:r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FrS + FrT 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* TS]</m:t>
                </m:r>
              </m:oMath>
            </m:oMathPara>
          </w:p>
          <w:p w:rsidR="00875B85" w:rsidRPr="00A076D9" w:rsidRDefault="00875B85" w:rsidP="0085068B">
            <w:pPr>
              <w:pStyle w:val="Paragraphedeliste"/>
              <w:ind w:left="0"/>
              <w:jc w:val="center"/>
              <w:rPr>
                <w:oMath/>
                <w:rFonts w:ascii="Cambria Math" w:hAnsi="Cambria Math" w:cstheme="majorBidi"/>
                <w:sz w:val="28"/>
                <w:szCs w:val="28"/>
              </w:rPr>
            </w:pPr>
          </w:p>
        </w:tc>
      </w:tr>
    </w:tbl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FE5290" w:rsidRDefault="00FE5290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VrS</w:t>
      </w:r>
      <w:r>
        <w:rPr>
          <w:rFonts w:asciiTheme="majorBidi" w:hAnsiTheme="majorBidi" w:cstheme="majorBidi"/>
          <w:sz w:val="24"/>
          <w:szCs w:val="24"/>
        </w:rPr>
        <w:t> : Valeur réelle subvention.</w:t>
      </w:r>
    </w:p>
    <w:p w:rsidR="00FE5290" w:rsidRPr="00A3104D" w:rsidRDefault="00FE5290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F74038" w:rsidRPr="001874EF" w:rsidRDefault="00F74038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Fr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 : Frais réels du séjour </w:t>
      </w:r>
      <w:r w:rsidRPr="001874EF">
        <w:rPr>
          <w:rFonts w:asciiTheme="majorBidi" w:hAnsiTheme="majorBidi" w:cstheme="majorBidi"/>
          <w:sz w:val="24"/>
          <w:szCs w:val="24"/>
        </w:rPr>
        <w:t>= min [150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74EF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74EF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om</w:t>
      </w:r>
      <w:r w:rsidRPr="001874EF">
        <w:rPr>
          <w:rFonts w:asciiTheme="majorBidi" w:hAnsiTheme="majorBidi" w:cstheme="majorBidi"/>
          <w:sz w:val="24"/>
          <w:szCs w:val="24"/>
        </w:rPr>
        <w:t>br</w:t>
      </w:r>
      <w:r>
        <w:rPr>
          <w:rFonts w:asciiTheme="majorBidi" w:hAnsiTheme="majorBidi" w:cstheme="majorBidi"/>
          <w:sz w:val="24"/>
          <w:szCs w:val="24"/>
        </w:rPr>
        <w:t xml:space="preserve">e de jours réels </w:t>
      </w:r>
      <w:r w:rsidRPr="001874EF">
        <w:rPr>
          <w:rFonts w:asciiTheme="majorBidi" w:hAnsiTheme="majorBidi" w:cstheme="majorBidi"/>
          <w:sz w:val="24"/>
          <w:szCs w:val="24"/>
        </w:rPr>
        <w:t xml:space="preserve">; le montant HT </w:t>
      </w:r>
      <w:r>
        <w:rPr>
          <w:rFonts w:asciiTheme="majorBidi" w:hAnsiTheme="majorBidi" w:cstheme="majorBidi"/>
          <w:sz w:val="24"/>
          <w:szCs w:val="24"/>
        </w:rPr>
        <w:t>de la f</w:t>
      </w:r>
      <w:r w:rsidRPr="001874EF">
        <w:rPr>
          <w:rFonts w:asciiTheme="majorBidi" w:hAnsiTheme="majorBidi" w:cstheme="majorBidi"/>
          <w:sz w:val="24"/>
          <w:szCs w:val="24"/>
        </w:rPr>
        <w:t>acture de l’hébergement]</w:t>
      </w:r>
    </w:p>
    <w:p w:rsidR="00FE5290" w:rsidRPr="00F74038" w:rsidRDefault="00F74038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FrT </w:t>
      </w:r>
      <w:r w:rsidRPr="00AF092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Frais réels du transport = valeur réelle du (des) billet(s) d’avion.</w:t>
      </w:r>
    </w:p>
    <w:p w:rsidR="00906695" w:rsidRPr="001874EF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1874EF">
        <w:rPr>
          <w:rFonts w:asciiTheme="majorBidi" w:hAnsiTheme="majorBidi" w:cstheme="majorBidi"/>
          <w:sz w:val="24"/>
          <w:szCs w:val="24"/>
        </w:rPr>
        <w:t> : Taux</w:t>
      </w:r>
      <w:r w:rsidR="00F74038">
        <w:rPr>
          <w:rFonts w:asciiTheme="majorBidi" w:hAnsiTheme="majorBidi" w:cstheme="majorBidi"/>
          <w:sz w:val="24"/>
          <w:szCs w:val="24"/>
        </w:rPr>
        <w:t xml:space="preserve"> de la</w:t>
      </w:r>
      <w:r w:rsidRPr="001874EF">
        <w:rPr>
          <w:rFonts w:asciiTheme="majorBidi" w:hAnsiTheme="majorBidi" w:cstheme="majorBidi"/>
          <w:sz w:val="24"/>
          <w:szCs w:val="24"/>
        </w:rPr>
        <w:t xml:space="preserve"> subvention</w:t>
      </w:r>
      <w:r w:rsidR="00B32ABD">
        <w:rPr>
          <w:rFonts w:asciiTheme="majorBidi" w:hAnsiTheme="majorBidi" w:cstheme="majorBidi"/>
          <w:sz w:val="24"/>
          <w:szCs w:val="24"/>
        </w:rPr>
        <w:t>.</w:t>
      </w:r>
      <w:r w:rsidRPr="001874EF">
        <w:rPr>
          <w:rFonts w:asciiTheme="majorBidi" w:hAnsiTheme="majorBidi" w:cstheme="majorBidi"/>
          <w:sz w:val="24"/>
          <w:szCs w:val="24"/>
        </w:rPr>
        <w:t xml:space="preserve"> </w:t>
      </w:r>
    </w:p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06695" w:rsidRDefault="00906695" w:rsidP="0085068B">
      <w:pPr>
        <w:spacing w:line="240" w:lineRule="auto"/>
      </w:pPr>
    </w:p>
    <w:p w:rsidR="00906695" w:rsidRDefault="00906695" w:rsidP="0085068B">
      <w:pPr>
        <w:spacing w:line="240" w:lineRule="auto"/>
      </w:pPr>
    </w:p>
    <w:p w:rsidR="009C536D" w:rsidRDefault="009C536D" w:rsidP="0085068B">
      <w:pPr>
        <w:spacing w:line="240" w:lineRule="auto"/>
      </w:pPr>
    </w:p>
    <w:sectPr w:rsidR="009C536D" w:rsidSect="005B5E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D0" w:rsidRDefault="009E02D0" w:rsidP="00906695">
      <w:pPr>
        <w:spacing w:after="0" w:line="240" w:lineRule="auto"/>
      </w:pPr>
      <w:r>
        <w:separator/>
      </w:r>
    </w:p>
  </w:endnote>
  <w:endnote w:type="continuationSeparator" w:id="1">
    <w:p w:rsidR="009E02D0" w:rsidRDefault="009E02D0" w:rsidP="0090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890"/>
      <w:docPartObj>
        <w:docPartGallery w:val="Page Numbers (Bottom of Page)"/>
        <w:docPartUnique/>
      </w:docPartObj>
    </w:sdtPr>
    <w:sdtContent>
      <w:p w:rsidR="009C536D" w:rsidRDefault="0098664B">
        <w:pPr>
          <w:pStyle w:val="Pieddepage"/>
          <w:jc w:val="right"/>
        </w:pPr>
        <w:fldSimple w:instr=" PAGE   \* MERGEFORMAT ">
          <w:r w:rsidR="00A65B49">
            <w:rPr>
              <w:noProof/>
            </w:rPr>
            <w:t>3</w:t>
          </w:r>
        </w:fldSimple>
      </w:p>
    </w:sdtContent>
  </w:sdt>
  <w:p w:rsidR="009C536D" w:rsidRDefault="009C53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D0" w:rsidRDefault="009E02D0" w:rsidP="00906695">
      <w:pPr>
        <w:spacing w:after="0" w:line="240" w:lineRule="auto"/>
      </w:pPr>
      <w:r>
        <w:separator/>
      </w:r>
    </w:p>
  </w:footnote>
  <w:footnote w:type="continuationSeparator" w:id="1">
    <w:p w:rsidR="009E02D0" w:rsidRDefault="009E02D0" w:rsidP="00906695">
      <w:pPr>
        <w:spacing w:after="0" w:line="240" w:lineRule="auto"/>
      </w:pPr>
      <w:r>
        <w:continuationSeparator/>
      </w:r>
    </w:p>
  </w:footnote>
  <w:footnote w:id="2">
    <w:p w:rsidR="00562804" w:rsidRDefault="009C536D" w:rsidP="00562804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077A0C">
        <w:t xml:space="preserve">- </w:t>
      </w:r>
      <w:r>
        <w:rPr>
          <w:rFonts w:cs="Times New Roman"/>
          <w:b/>
          <w:bCs/>
          <w:sz w:val="18"/>
          <w:szCs w:val="18"/>
        </w:rPr>
        <w:t xml:space="preserve"> </w:t>
      </w:r>
      <w:r w:rsidR="00562804">
        <w:rPr>
          <w:sz w:val="18"/>
          <w:szCs w:val="18"/>
        </w:rPr>
        <w:t>Pour</w:t>
      </w:r>
      <w:r w:rsidR="00562804">
        <w:rPr>
          <w:b/>
          <w:bCs/>
          <w:sz w:val="18"/>
          <w:szCs w:val="18"/>
        </w:rPr>
        <w:t xml:space="preserve"> </w:t>
      </w:r>
      <w:r w:rsidR="00562804">
        <w:rPr>
          <w:sz w:val="18"/>
          <w:szCs w:val="18"/>
        </w:rPr>
        <w:t xml:space="preserve">le billet  de transport électronique en </w:t>
      </w:r>
      <w:r w:rsidR="00562804" w:rsidRPr="00A437EE">
        <w:rPr>
          <w:b/>
          <w:bCs/>
          <w:i/>
          <w:iCs/>
          <w:sz w:val="18"/>
          <w:szCs w:val="18"/>
        </w:rPr>
        <w:t>business class</w:t>
      </w:r>
      <w:r w:rsidR="00562804">
        <w:rPr>
          <w:sz w:val="18"/>
          <w:szCs w:val="18"/>
        </w:rPr>
        <w:t>, le montant pris en compte sera la moitié du tarif en HT d</w:t>
      </w:r>
      <w:r w:rsidR="00A437EE">
        <w:rPr>
          <w:sz w:val="18"/>
          <w:szCs w:val="18"/>
        </w:rPr>
        <w:t>u montant indiqué sur le billet</w:t>
      </w:r>
      <w:r w:rsidR="00562804">
        <w:rPr>
          <w:sz w:val="18"/>
          <w:szCs w:val="18"/>
        </w:rPr>
        <w:t xml:space="preserve">; pour le billet en </w:t>
      </w:r>
      <w:r w:rsidR="00562804" w:rsidRPr="00A437EE">
        <w:rPr>
          <w:b/>
          <w:bCs/>
          <w:i/>
          <w:iCs/>
          <w:sz w:val="18"/>
          <w:szCs w:val="18"/>
        </w:rPr>
        <w:t>Première classe</w:t>
      </w:r>
      <w:r w:rsidR="00562804">
        <w:rPr>
          <w:i/>
          <w:iCs/>
          <w:sz w:val="18"/>
          <w:szCs w:val="18"/>
        </w:rPr>
        <w:t>,</w:t>
      </w:r>
      <w:r w:rsidR="00562804">
        <w:rPr>
          <w:sz w:val="18"/>
          <w:szCs w:val="18"/>
        </w:rPr>
        <w:t xml:space="preserve"> le montant (HT) sera divisé par 3. (</w:t>
      </w:r>
      <w:r w:rsidR="00A437EE">
        <w:rPr>
          <w:color w:val="000000"/>
          <w:sz w:val="18"/>
          <w:szCs w:val="18"/>
          <w:shd w:val="clear" w:color="auto" w:fill="FFFFFF"/>
        </w:rPr>
        <w:t>S</w:t>
      </w:r>
      <w:r w:rsidR="00562804">
        <w:rPr>
          <w:color w:val="000000"/>
          <w:sz w:val="18"/>
          <w:szCs w:val="18"/>
          <w:shd w:val="clear" w:color="auto" w:fill="FFFFFF"/>
        </w:rPr>
        <w:t>ymboles de</w:t>
      </w:r>
      <w:r w:rsidR="00562804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A437EE">
        <w:rPr>
          <w:color w:val="000000"/>
          <w:sz w:val="18"/>
          <w:szCs w:val="18"/>
          <w:shd w:val="clear" w:color="auto" w:fill="FFFFFF"/>
        </w:rPr>
        <w:t>La classe de la réservation/ L</w:t>
      </w:r>
      <w:r w:rsidR="00562804">
        <w:rPr>
          <w:color w:val="000000"/>
          <w:sz w:val="18"/>
          <w:szCs w:val="18"/>
          <w:shd w:val="clear" w:color="auto" w:fill="FFFFFF"/>
        </w:rPr>
        <w:t>a première classe- F, P, A/ la classe d'affaires-</w:t>
      </w:r>
      <w:r w:rsidR="00A437EE">
        <w:rPr>
          <w:color w:val="000000"/>
          <w:sz w:val="18"/>
          <w:szCs w:val="18"/>
          <w:shd w:val="clear" w:color="auto" w:fill="FFFFFF"/>
        </w:rPr>
        <w:t xml:space="preserve"> </w:t>
      </w:r>
      <w:r w:rsidR="00562804">
        <w:rPr>
          <w:color w:val="000000"/>
          <w:sz w:val="18"/>
          <w:szCs w:val="18"/>
          <w:shd w:val="clear" w:color="auto" w:fill="FFFFFF"/>
        </w:rPr>
        <w:t xml:space="preserve">J, C, D, I, Z et la </w:t>
      </w:r>
      <w:r w:rsidR="00562804" w:rsidRPr="006B08D6">
        <w:rPr>
          <w:b/>
          <w:bCs/>
          <w:color w:val="000000"/>
          <w:sz w:val="18"/>
          <w:szCs w:val="18"/>
          <w:shd w:val="clear" w:color="auto" w:fill="FFFFFF"/>
        </w:rPr>
        <w:t>classe économique</w:t>
      </w:r>
      <w:r w:rsidR="00562804">
        <w:rPr>
          <w:color w:val="000000"/>
          <w:sz w:val="18"/>
          <w:szCs w:val="18"/>
          <w:shd w:val="clear" w:color="auto" w:fill="FFFFFF"/>
        </w:rPr>
        <w:t>- W, S, Y, B, H, K, L, M, N, Q, T, V, X)</w:t>
      </w:r>
      <w:r w:rsidR="00562804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</w:p>
    <w:p w:rsidR="009C536D" w:rsidRDefault="009C536D" w:rsidP="00562804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3E9"/>
    <w:multiLevelType w:val="hybridMultilevel"/>
    <w:tmpl w:val="6A9C721C"/>
    <w:lvl w:ilvl="0" w:tplc="040C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7086474"/>
    <w:multiLevelType w:val="hybridMultilevel"/>
    <w:tmpl w:val="97B6C590"/>
    <w:lvl w:ilvl="0" w:tplc="040C0015">
      <w:start w:val="1"/>
      <w:numFmt w:val="upperLetter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A1329A8"/>
    <w:multiLevelType w:val="hybridMultilevel"/>
    <w:tmpl w:val="0304030C"/>
    <w:lvl w:ilvl="0" w:tplc="AD645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C5302"/>
    <w:multiLevelType w:val="hybridMultilevel"/>
    <w:tmpl w:val="6EFE8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30E78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1ED3"/>
    <w:multiLevelType w:val="hybridMultilevel"/>
    <w:tmpl w:val="0E506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664FF"/>
    <w:multiLevelType w:val="hybridMultilevel"/>
    <w:tmpl w:val="CAD6E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F6904"/>
    <w:multiLevelType w:val="hybridMultilevel"/>
    <w:tmpl w:val="256861AE"/>
    <w:lvl w:ilvl="0" w:tplc="04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1F497940"/>
    <w:multiLevelType w:val="hybridMultilevel"/>
    <w:tmpl w:val="E6303E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031A5"/>
    <w:multiLevelType w:val="hybridMultilevel"/>
    <w:tmpl w:val="7584A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265EF"/>
    <w:multiLevelType w:val="hybridMultilevel"/>
    <w:tmpl w:val="A1745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03E43"/>
    <w:multiLevelType w:val="hybridMultilevel"/>
    <w:tmpl w:val="B352DAE8"/>
    <w:lvl w:ilvl="0" w:tplc="1A208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CE1682"/>
    <w:multiLevelType w:val="hybridMultilevel"/>
    <w:tmpl w:val="C6785C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89159B"/>
    <w:multiLevelType w:val="hybridMultilevel"/>
    <w:tmpl w:val="2CD8E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A7D7D"/>
    <w:multiLevelType w:val="hybridMultilevel"/>
    <w:tmpl w:val="2A903224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DD7"/>
    <w:multiLevelType w:val="hybridMultilevel"/>
    <w:tmpl w:val="03A2BD4E"/>
    <w:lvl w:ilvl="0" w:tplc="7E8AF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24992"/>
    <w:multiLevelType w:val="hybridMultilevel"/>
    <w:tmpl w:val="C36EDC4C"/>
    <w:lvl w:ilvl="0" w:tplc="7E8AF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41DF0"/>
    <w:multiLevelType w:val="hybridMultilevel"/>
    <w:tmpl w:val="60EEED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67519"/>
    <w:multiLevelType w:val="hybridMultilevel"/>
    <w:tmpl w:val="85266250"/>
    <w:lvl w:ilvl="0" w:tplc="A49ED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70A13"/>
    <w:multiLevelType w:val="hybridMultilevel"/>
    <w:tmpl w:val="B11287D4"/>
    <w:lvl w:ilvl="0" w:tplc="F21A80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6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96213"/>
    <w:multiLevelType w:val="hybridMultilevel"/>
    <w:tmpl w:val="E7C88FC4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B6287"/>
    <w:multiLevelType w:val="hybridMultilevel"/>
    <w:tmpl w:val="06241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E41C0"/>
    <w:multiLevelType w:val="hybridMultilevel"/>
    <w:tmpl w:val="8C38D1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4F4293"/>
    <w:multiLevelType w:val="hybridMultilevel"/>
    <w:tmpl w:val="8E92E1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706E70"/>
    <w:multiLevelType w:val="hybridMultilevel"/>
    <w:tmpl w:val="2B84E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01473"/>
    <w:multiLevelType w:val="hybridMultilevel"/>
    <w:tmpl w:val="5F2A6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18"/>
  </w:num>
  <w:num w:numId="5">
    <w:abstractNumId w:val="13"/>
  </w:num>
  <w:num w:numId="6">
    <w:abstractNumId w:val="20"/>
  </w:num>
  <w:num w:numId="7">
    <w:abstractNumId w:val="2"/>
  </w:num>
  <w:num w:numId="8">
    <w:abstractNumId w:val="12"/>
  </w:num>
  <w:num w:numId="9">
    <w:abstractNumId w:val="16"/>
  </w:num>
  <w:num w:numId="10">
    <w:abstractNumId w:val="21"/>
  </w:num>
  <w:num w:numId="11">
    <w:abstractNumId w:val="25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15"/>
  </w:num>
  <w:num w:numId="16">
    <w:abstractNumId w:val="10"/>
  </w:num>
  <w:num w:numId="17">
    <w:abstractNumId w:val="0"/>
  </w:num>
  <w:num w:numId="18">
    <w:abstractNumId w:val="6"/>
  </w:num>
  <w:num w:numId="19">
    <w:abstractNumId w:val="14"/>
  </w:num>
  <w:num w:numId="20">
    <w:abstractNumId w:val="8"/>
  </w:num>
  <w:num w:numId="21">
    <w:abstractNumId w:val="11"/>
  </w:num>
  <w:num w:numId="22">
    <w:abstractNumId w:val="5"/>
  </w:num>
  <w:num w:numId="23">
    <w:abstractNumId w:val="17"/>
  </w:num>
  <w:num w:numId="24">
    <w:abstractNumId w:val="19"/>
  </w:num>
  <w:num w:numId="25">
    <w:abstractNumId w:val="22"/>
  </w:num>
  <w:num w:numId="26">
    <w:abstractNumId w:val="26"/>
  </w:num>
  <w:num w:numId="27">
    <w:abstractNumId w:val="27"/>
  </w:num>
  <w:num w:numId="28">
    <w:abstractNumId w:val="7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695"/>
    <w:rsid w:val="00014BA4"/>
    <w:rsid w:val="00022807"/>
    <w:rsid w:val="000469B1"/>
    <w:rsid w:val="0005190C"/>
    <w:rsid w:val="00052512"/>
    <w:rsid w:val="000C307B"/>
    <w:rsid w:val="000E31B1"/>
    <w:rsid w:val="000F6961"/>
    <w:rsid w:val="001022EE"/>
    <w:rsid w:val="001047D7"/>
    <w:rsid w:val="0010778F"/>
    <w:rsid w:val="0012033B"/>
    <w:rsid w:val="0014361C"/>
    <w:rsid w:val="00154C83"/>
    <w:rsid w:val="00167F22"/>
    <w:rsid w:val="00174B3C"/>
    <w:rsid w:val="001874EF"/>
    <w:rsid w:val="001A7FBC"/>
    <w:rsid w:val="001D1284"/>
    <w:rsid w:val="001D2F7C"/>
    <w:rsid w:val="001E7C52"/>
    <w:rsid w:val="001F650F"/>
    <w:rsid w:val="002038E2"/>
    <w:rsid w:val="00206183"/>
    <w:rsid w:val="002147BB"/>
    <w:rsid w:val="002244E4"/>
    <w:rsid w:val="00241A9A"/>
    <w:rsid w:val="00250AA4"/>
    <w:rsid w:val="00257C1F"/>
    <w:rsid w:val="002627FC"/>
    <w:rsid w:val="002B2C54"/>
    <w:rsid w:val="002C0977"/>
    <w:rsid w:val="002C0996"/>
    <w:rsid w:val="002C2D8E"/>
    <w:rsid w:val="00314CF2"/>
    <w:rsid w:val="003257AF"/>
    <w:rsid w:val="00335796"/>
    <w:rsid w:val="003536A8"/>
    <w:rsid w:val="003778D9"/>
    <w:rsid w:val="00390947"/>
    <w:rsid w:val="003A611C"/>
    <w:rsid w:val="003B35A0"/>
    <w:rsid w:val="003C38D0"/>
    <w:rsid w:val="003D3BDC"/>
    <w:rsid w:val="00401C43"/>
    <w:rsid w:val="004039D7"/>
    <w:rsid w:val="00424CE9"/>
    <w:rsid w:val="00430655"/>
    <w:rsid w:val="00451671"/>
    <w:rsid w:val="00462C8D"/>
    <w:rsid w:val="00495F52"/>
    <w:rsid w:val="004A0B0A"/>
    <w:rsid w:val="004A1123"/>
    <w:rsid w:val="004B0111"/>
    <w:rsid w:val="004B12FE"/>
    <w:rsid w:val="004D4C2C"/>
    <w:rsid w:val="004E28FC"/>
    <w:rsid w:val="004E5B12"/>
    <w:rsid w:val="004F1B9A"/>
    <w:rsid w:val="004F385C"/>
    <w:rsid w:val="0050259D"/>
    <w:rsid w:val="005056EB"/>
    <w:rsid w:val="00516ECE"/>
    <w:rsid w:val="00524231"/>
    <w:rsid w:val="00526A7C"/>
    <w:rsid w:val="00543B2D"/>
    <w:rsid w:val="0055625D"/>
    <w:rsid w:val="00562804"/>
    <w:rsid w:val="00590038"/>
    <w:rsid w:val="005B5E4E"/>
    <w:rsid w:val="005C7793"/>
    <w:rsid w:val="005D610A"/>
    <w:rsid w:val="005E3AD6"/>
    <w:rsid w:val="005E7290"/>
    <w:rsid w:val="00607461"/>
    <w:rsid w:val="00621D20"/>
    <w:rsid w:val="006468D3"/>
    <w:rsid w:val="00690AA6"/>
    <w:rsid w:val="006B08D6"/>
    <w:rsid w:val="006B415A"/>
    <w:rsid w:val="006F2ACA"/>
    <w:rsid w:val="00755A5C"/>
    <w:rsid w:val="00755F2F"/>
    <w:rsid w:val="00757AF3"/>
    <w:rsid w:val="00760772"/>
    <w:rsid w:val="00762F19"/>
    <w:rsid w:val="007713DF"/>
    <w:rsid w:val="00776159"/>
    <w:rsid w:val="00777412"/>
    <w:rsid w:val="0079140C"/>
    <w:rsid w:val="00792A04"/>
    <w:rsid w:val="007A07D7"/>
    <w:rsid w:val="007A4899"/>
    <w:rsid w:val="007C42F9"/>
    <w:rsid w:val="007C763F"/>
    <w:rsid w:val="007E54AE"/>
    <w:rsid w:val="007E7039"/>
    <w:rsid w:val="008065CD"/>
    <w:rsid w:val="0082104E"/>
    <w:rsid w:val="00836C2A"/>
    <w:rsid w:val="00846667"/>
    <w:rsid w:val="0085068B"/>
    <w:rsid w:val="00875B85"/>
    <w:rsid w:val="00891652"/>
    <w:rsid w:val="00891919"/>
    <w:rsid w:val="008D170B"/>
    <w:rsid w:val="008D44A6"/>
    <w:rsid w:val="008E1E78"/>
    <w:rsid w:val="008F082A"/>
    <w:rsid w:val="008F3A71"/>
    <w:rsid w:val="008F42DF"/>
    <w:rsid w:val="0090389B"/>
    <w:rsid w:val="00903B2B"/>
    <w:rsid w:val="00906695"/>
    <w:rsid w:val="00910443"/>
    <w:rsid w:val="00921EE8"/>
    <w:rsid w:val="0095379D"/>
    <w:rsid w:val="00962FB4"/>
    <w:rsid w:val="0098664B"/>
    <w:rsid w:val="009B17B8"/>
    <w:rsid w:val="009B17F7"/>
    <w:rsid w:val="009B2E6C"/>
    <w:rsid w:val="009B722D"/>
    <w:rsid w:val="009C536D"/>
    <w:rsid w:val="009E02D0"/>
    <w:rsid w:val="009F7122"/>
    <w:rsid w:val="00A076D9"/>
    <w:rsid w:val="00A15DAB"/>
    <w:rsid w:val="00A42918"/>
    <w:rsid w:val="00A437EE"/>
    <w:rsid w:val="00A470A9"/>
    <w:rsid w:val="00A53909"/>
    <w:rsid w:val="00A65B49"/>
    <w:rsid w:val="00A744F9"/>
    <w:rsid w:val="00A8067F"/>
    <w:rsid w:val="00A940AC"/>
    <w:rsid w:val="00A973D7"/>
    <w:rsid w:val="00AB3D46"/>
    <w:rsid w:val="00AD3F0B"/>
    <w:rsid w:val="00AE699A"/>
    <w:rsid w:val="00AF4EE6"/>
    <w:rsid w:val="00B02A63"/>
    <w:rsid w:val="00B05E3D"/>
    <w:rsid w:val="00B32ABD"/>
    <w:rsid w:val="00B35856"/>
    <w:rsid w:val="00B45ED3"/>
    <w:rsid w:val="00B81275"/>
    <w:rsid w:val="00B9114E"/>
    <w:rsid w:val="00B93E56"/>
    <w:rsid w:val="00B94A3B"/>
    <w:rsid w:val="00BA4884"/>
    <w:rsid w:val="00BD2FDE"/>
    <w:rsid w:val="00BF40AD"/>
    <w:rsid w:val="00C234C3"/>
    <w:rsid w:val="00C252BE"/>
    <w:rsid w:val="00C35684"/>
    <w:rsid w:val="00C40B29"/>
    <w:rsid w:val="00C46CBE"/>
    <w:rsid w:val="00C54650"/>
    <w:rsid w:val="00C83C13"/>
    <w:rsid w:val="00CB1AFE"/>
    <w:rsid w:val="00CD27B7"/>
    <w:rsid w:val="00CE00F5"/>
    <w:rsid w:val="00CE17DF"/>
    <w:rsid w:val="00CF1D3F"/>
    <w:rsid w:val="00CF2E19"/>
    <w:rsid w:val="00D0482A"/>
    <w:rsid w:val="00D204F1"/>
    <w:rsid w:val="00D24EE3"/>
    <w:rsid w:val="00D276B0"/>
    <w:rsid w:val="00D326DA"/>
    <w:rsid w:val="00D37C72"/>
    <w:rsid w:val="00D471E2"/>
    <w:rsid w:val="00D549B2"/>
    <w:rsid w:val="00D54EED"/>
    <w:rsid w:val="00D80213"/>
    <w:rsid w:val="00D90F34"/>
    <w:rsid w:val="00E00578"/>
    <w:rsid w:val="00E12C21"/>
    <w:rsid w:val="00E21E1F"/>
    <w:rsid w:val="00E24E28"/>
    <w:rsid w:val="00E61DA8"/>
    <w:rsid w:val="00E70CC8"/>
    <w:rsid w:val="00E7658C"/>
    <w:rsid w:val="00E911DF"/>
    <w:rsid w:val="00E94F33"/>
    <w:rsid w:val="00ED37E7"/>
    <w:rsid w:val="00EF0EF9"/>
    <w:rsid w:val="00EF4388"/>
    <w:rsid w:val="00F0078B"/>
    <w:rsid w:val="00F1082E"/>
    <w:rsid w:val="00F10E56"/>
    <w:rsid w:val="00F279BC"/>
    <w:rsid w:val="00F43FDD"/>
    <w:rsid w:val="00F66DB6"/>
    <w:rsid w:val="00F74038"/>
    <w:rsid w:val="00F94E6F"/>
    <w:rsid w:val="00FA5EDB"/>
    <w:rsid w:val="00FB466B"/>
    <w:rsid w:val="00FE270A"/>
    <w:rsid w:val="00FE5290"/>
    <w:rsid w:val="00FF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6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669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669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669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0669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F0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082A"/>
  </w:style>
  <w:style w:type="paragraph" w:styleId="Pieddepage">
    <w:name w:val="footer"/>
    <w:basedOn w:val="Normal"/>
    <w:link w:val="PieddepageCar"/>
    <w:uiPriority w:val="99"/>
    <w:unhideWhenUsed/>
    <w:rsid w:val="008F0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82A"/>
  </w:style>
  <w:style w:type="paragraph" w:styleId="Textedebulles">
    <w:name w:val="Balloon Text"/>
    <w:basedOn w:val="Normal"/>
    <w:link w:val="TextedebullesCar"/>
    <w:uiPriority w:val="99"/>
    <w:semiHidden/>
    <w:unhideWhenUsed/>
    <w:rsid w:val="003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8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562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AZZI</dc:creator>
  <cp:lastModifiedBy>SRA-ZOUABI</cp:lastModifiedBy>
  <cp:revision>21</cp:revision>
  <dcterms:created xsi:type="dcterms:W3CDTF">2016-07-22T08:18:00Z</dcterms:created>
  <dcterms:modified xsi:type="dcterms:W3CDTF">2016-12-16T11:52:00Z</dcterms:modified>
</cp:coreProperties>
</file>