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A28" w:rsidRPr="007344A1" w:rsidRDefault="009178C1" w:rsidP="009178C1">
      <w:pPr>
        <w:jc w:val="center"/>
        <w:rPr>
          <w:rFonts w:ascii="Calibri" w:eastAsiaTheme="majorEastAsia" w:hAnsi="Calibri" w:cstheme="majorBidi"/>
          <w:sz w:val="40"/>
          <w:szCs w:val="40"/>
          <w:u w:val="single"/>
        </w:rPr>
      </w:pPr>
      <w:r w:rsidRPr="007344A1">
        <w:rPr>
          <w:rFonts w:ascii="Calibri" w:eastAsiaTheme="majorEastAsia" w:hAnsi="Calibri" w:cstheme="majorBidi"/>
          <w:sz w:val="40"/>
          <w:szCs w:val="40"/>
          <w:u w:val="single"/>
        </w:rPr>
        <w:t>La participation Tunisienne au</w:t>
      </w:r>
    </w:p>
    <w:p w:rsidR="009178C1" w:rsidRPr="007344A1" w:rsidRDefault="009178C1" w:rsidP="009178C1">
      <w:pPr>
        <w:jc w:val="center"/>
        <w:rPr>
          <w:rFonts w:ascii="Calibri" w:eastAsiaTheme="majorEastAsia" w:hAnsi="Calibri" w:cstheme="majorBidi"/>
          <w:sz w:val="40"/>
          <w:szCs w:val="40"/>
          <w:u w:val="single"/>
        </w:rPr>
      </w:pPr>
      <w:proofErr w:type="gramStart"/>
      <w:r w:rsidRPr="007344A1">
        <w:rPr>
          <w:rFonts w:ascii="Calibri" w:eastAsiaTheme="majorEastAsia" w:hAnsi="Calibri" w:cstheme="majorBidi"/>
          <w:sz w:val="40"/>
          <w:szCs w:val="40"/>
          <w:u w:val="single"/>
        </w:rPr>
        <w:t>salon</w:t>
      </w:r>
      <w:proofErr w:type="gramEnd"/>
      <w:r w:rsidRPr="007344A1">
        <w:rPr>
          <w:rFonts w:ascii="Calibri" w:eastAsiaTheme="majorEastAsia" w:hAnsi="Calibri" w:cstheme="majorBidi"/>
          <w:sz w:val="40"/>
          <w:szCs w:val="40"/>
          <w:u w:val="single"/>
        </w:rPr>
        <w:t xml:space="preserve"> INNOTRANS</w:t>
      </w:r>
    </w:p>
    <w:p w:rsidR="00D97830" w:rsidRDefault="00D97830" w:rsidP="009178C1">
      <w:pPr>
        <w:jc w:val="center"/>
        <w:rPr>
          <w:rFonts w:ascii="Calibri" w:eastAsiaTheme="majorEastAsia" w:hAnsi="Calibri" w:cstheme="majorBidi"/>
          <w:sz w:val="40"/>
          <w:szCs w:val="40"/>
          <w:u w:val="single"/>
        </w:rPr>
      </w:pPr>
      <w:r w:rsidRPr="007344A1">
        <w:rPr>
          <w:rFonts w:ascii="Calibri" w:eastAsiaTheme="majorEastAsia" w:hAnsi="Calibri" w:cstheme="majorBidi"/>
          <w:sz w:val="40"/>
          <w:szCs w:val="40"/>
          <w:u w:val="single"/>
        </w:rPr>
        <w:t>Berlin du 18 au 21 septembre 2018</w:t>
      </w:r>
    </w:p>
    <w:p w:rsidR="007344A1" w:rsidRPr="007344A1" w:rsidRDefault="007344A1" w:rsidP="009178C1">
      <w:pPr>
        <w:jc w:val="center"/>
        <w:rPr>
          <w:sz w:val="40"/>
          <w:szCs w:val="40"/>
          <w:u w:val="single"/>
        </w:rPr>
      </w:pPr>
    </w:p>
    <w:p w:rsidR="009178C1" w:rsidRPr="006F503E" w:rsidRDefault="009178C1" w:rsidP="009178C1">
      <w:pPr>
        <w:rPr>
          <w:rFonts w:ascii="Calibri" w:eastAsiaTheme="majorEastAsia" w:hAnsi="Calibri" w:cstheme="majorBidi"/>
          <w:sz w:val="36"/>
          <w:szCs w:val="36"/>
          <w:u w:val="single"/>
        </w:rPr>
      </w:pPr>
      <w:r w:rsidRPr="006F503E">
        <w:rPr>
          <w:sz w:val="40"/>
          <w:szCs w:val="40"/>
        </w:rPr>
        <w:t xml:space="preserve">1/ </w:t>
      </w:r>
      <w:r w:rsidRPr="006F503E">
        <w:rPr>
          <w:rFonts w:ascii="Calibri" w:eastAsiaTheme="majorEastAsia" w:hAnsi="Calibri" w:cstheme="majorBidi"/>
          <w:sz w:val="36"/>
          <w:szCs w:val="36"/>
          <w:u w:val="single"/>
        </w:rPr>
        <w:t>Présentation du salon</w:t>
      </w:r>
    </w:p>
    <w:p w:rsidR="009178C1" w:rsidRDefault="009178C1" w:rsidP="009178C1">
      <w:pPr>
        <w:pStyle w:val="Paragraphedeliste"/>
        <w:numPr>
          <w:ilvl w:val="0"/>
          <w:numId w:val="1"/>
        </w:numPr>
        <w:textAlignment w:val="baseline"/>
      </w:pPr>
      <w:r>
        <w:rPr>
          <w:rFonts w:ascii="Calibri" w:eastAsia="Calibri" w:hAnsi="Calibri" w:cs="Calibri"/>
          <w:b/>
          <w:bCs/>
          <w:color w:val="000000" w:themeColor="text1"/>
          <w:kern w:val="24"/>
          <w:u w:val="single"/>
        </w:rPr>
        <w:t>Année de fondation</w:t>
      </w:r>
      <w:r>
        <w:rPr>
          <w:rFonts w:ascii="Calibri" w:eastAsia="Calibri" w:hAnsi="Calibri" w:cs="Calibri"/>
          <w:color w:val="000000" w:themeColor="text1"/>
          <w:kern w:val="24"/>
        </w:rPr>
        <w:t> : 1996</w:t>
      </w:r>
    </w:p>
    <w:p w:rsidR="009178C1" w:rsidRDefault="009178C1" w:rsidP="009178C1">
      <w:pPr>
        <w:pStyle w:val="Paragraphedeliste"/>
        <w:numPr>
          <w:ilvl w:val="0"/>
          <w:numId w:val="1"/>
        </w:numPr>
        <w:textAlignment w:val="baseline"/>
      </w:pPr>
      <w:r>
        <w:rPr>
          <w:rFonts w:ascii="Calibri" w:eastAsia="Calibri" w:hAnsi="Calibri" w:cs="Calibri"/>
          <w:b/>
          <w:bCs/>
          <w:color w:val="000000" w:themeColor="text1"/>
          <w:kern w:val="24"/>
          <w:u w:val="single"/>
        </w:rPr>
        <w:t>Lieu</w:t>
      </w:r>
      <w:r>
        <w:rPr>
          <w:rFonts w:ascii="Calibri" w:eastAsia="Calibri" w:hAnsi="Calibri" w:cs="Calibri"/>
          <w:color w:val="000000" w:themeColor="text1"/>
          <w:kern w:val="24"/>
        </w:rPr>
        <w:t xml:space="preserve"> : Berlin (</w:t>
      </w:r>
      <w:r w:rsidRPr="009178C1">
        <w:rPr>
          <w:rFonts w:ascii="Arial" w:eastAsia="Arial" w:hAnsi="Arial" w:cs="Arial"/>
          <w:color w:val="000000" w:themeColor="text1"/>
          <w:kern w:val="24"/>
        </w:rPr>
        <w:t>Berlin est considéré comme le centre des compétences et du savoir-faire allemand pour l’ingénierie de trafic avec plus de 220 entreprises implantées</w:t>
      </w:r>
      <w:r>
        <w:rPr>
          <w:rFonts w:ascii="Arial" w:eastAsia="Arial" w:hAnsi="Arial" w:cs="Arial"/>
          <w:color w:val="000000" w:themeColor="text1"/>
          <w:kern w:val="24"/>
        </w:rPr>
        <w:t>)</w:t>
      </w:r>
    </w:p>
    <w:p w:rsidR="009178C1" w:rsidRDefault="009178C1" w:rsidP="009178C1">
      <w:pPr>
        <w:pStyle w:val="Paragraphedeliste"/>
        <w:numPr>
          <w:ilvl w:val="0"/>
          <w:numId w:val="1"/>
        </w:numPr>
        <w:textAlignment w:val="baseline"/>
      </w:pPr>
      <w:r>
        <w:rPr>
          <w:rFonts w:ascii="Calibri" w:eastAsia="Arial" w:hAnsi="Calibri" w:cs="Arial"/>
          <w:b/>
          <w:bCs/>
          <w:color w:val="000000" w:themeColor="text1"/>
          <w:kern w:val="24"/>
          <w:u w:val="single"/>
        </w:rPr>
        <w:t>Organisateur</w:t>
      </w:r>
      <w:r>
        <w:rPr>
          <w:rFonts w:ascii="Calibri" w:eastAsia="Arial" w:hAnsi="Calibri" w:cs="Arial"/>
          <w:color w:val="000000" w:themeColor="text1"/>
          <w:kern w:val="24"/>
        </w:rPr>
        <w:t> : Messe Berlin</w:t>
      </w:r>
    </w:p>
    <w:p w:rsidR="009178C1" w:rsidRDefault="009178C1" w:rsidP="009178C1">
      <w:pPr>
        <w:pStyle w:val="Paragraphedeliste"/>
        <w:numPr>
          <w:ilvl w:val="0"/>
          <w:numId w:val="1"/>
        </w:numPr>
        <w:textAlignment w:val="baseline"/>
      </w:pPr>
      <w:r>
        <w:rPr>
          <w:rFonts w:ascii="Calibri" w:eastAsia="Calibri" w:hAnsi="Calibri" w:cs="Calibri"/>
          <w:b/>
          <w:bCs/>
          <w:color w:val="000000" w:themeColor="text1"/>
          <w:kern w:val="24"/>
          <w:u w:val="single"/>
        </w:rPr>
        <w:t xml:space="preserve">Edition 2018 </w:t>
      </w:r>
      <w:r>
        <w:rPr>
          <w:rFonts w:ascii="Calibri" w:eastAsia="Calibri" w:hAnsi="Calibri" w:cs="Calibri"/>
          <w:color w:val="000000" w:themeColor="text1"/>
          <w:kern w:val="24"/>
        </w:rPr>
        <w:t>: N° 12</w:t>
      </w:r>
    </w:p>
    <w:p w:rsidR="009178C1" w:rsidRDefault="009178C1" w:rsidP="009178C1">
      <w:pPr>
        <w:pStyle w:val="Paragraphedeliste"/>
        <w:numPr>
          <w:ilvl w:val="0"/>
          <w:numId w:val="1"/>
        </w:numPr>
        <w:textAlignment w:val="baseline"/>
      </w:pPr>
      <w:r>
        <w:rPr>
          <w:rFonts w:ascii="Calibri" w:eastAsia="Calibri" w:hAnsi="Calibri" w:cs="Calibri"/>
          <w:b/>
          <w:bCs/>
          <w:color w:val="000000" w:themeColor="text1"/>
          <w:kern w:val="24"/>
          <w:u w:val="single"/>
        </w:rPr>
        <w:t>Rotation</w:t>
      </w:r>
      <w:r>
        <w:rPr>
          <w:rFonts w:ascii="Calibri" w:eastAsia="Calibri" w:hAnsi="Calibri" w:cs="Calibri"/>
          <w:color w:val="000000" w:themeColor="text1"/>
          <w:kern w:val="24"/>
          <w:u w:val="single"/>
        </w:rPr>
        <w:t xml:space="preserve"> : </w:t>
      </w:r>
      <w:r>
        <w:rPr>
          <w:rFonts w:ascii="Calibri" w:eastAsia="Calibri" w:hAnsi="Calibri" w:cs="Calibri"/>
          <w:color w:val="000000" w:themeColor="text1"/>
          <w:kern w:val="24"/>
        </w:rPr>
        <w:t>tous les deux ans</w:t>
      </w:r>
    </w:p>
    <w:p w:rsidR="009178C1" w:rsidRDefault="009178C1" w:rsidP="009178C1">
      <w:pPr>
        <w:pStyle w:val="NormalWeb"/>
        <w:spacing w:before="0" w:beforeAutospacing="0" w:after="0" w:afterAutospacing="0"/>
        <w:textAlignment w:val="baseline"/>
      </w:pPr>
      <w:r>
        <w:rPr>
          <w:rFonts w:ascii="Calibri" w:eastAsia="Arial" w:hAnsi="Calibri" w:cs="Arial"/>
          <w:b/>
          <w:bCs/>
          <w:color w:val="000000" w:themeColor="text1"/>
          <w:kern w:val="24"/>
        </w:rPr>
        <w:t xml:space="preserve">       -</w:t>
      </w:r>
      <w:r>
        <w:rPr>
          <w:rFonts w:ascii="Calibri" w:eastAsia="Arial" w:hAnsi="Calibri" w:cs="Arial"/>
          <w:b/>
          <w:bCs/>
          <w:color w:val="000000" w:themeColor="text1"/>
          <w:kern w:val="24"/>
          <w:sz w:val="48"/>
          <w:szCs w:val="48"/>
        </w:rPr>
        <w:t xml:space="preserve">   </w:t>
      </w:r>
      <w:r>
        <w:rPr>
          <w:rFonts w:ascii="Calibri" w:eastAsia="Arial" w:hAnsi="Calibri" w:cs="Arial"/>
          <w:b/>
          <w:bCs/>
          <w:color w:val="000000" w:themeColor="text1"/>
          <w:kern w:val="24"/>
          <w:u w:val="single"/>
        </w:rPr>
        <w:t>Date</w:t>
      </w:r>
      <w:r>
        <w:rPr>
          <w:rFonts w:ascii="Calibri" w:eastAsia="Arial" w:hAnsi="Calibri" w:cs="Arial"/>
          <w:color w:val="000000" w:themeColor="text1"/>
          <w:kern w:val="24"/>
        </w:rPr>
        <w:t> : 18-21 septembre 2018</w:t>
      </w:r>
    </w:p>
    <w:p w:rsidR="009178C1" w:rsidRDefault="009178C1" w:rsidP="009178C1">
      <w:pPr>
        <w:pStyle w:val="NormalWeb"/>
        <w:spacing w:before="0" w:beforeAutospacing="0" w:after="0" w:afterAutospacing="0"/>
        <w:textAlignment w:val="baseline"/>
      </w:pPr>
      <w:r>
        <w:rPr>
          <w:rFonts w:ascii="Calibri" w:eastAsia="Arial" w:hAnsi="Calibri" w:cs="Arial"/>
          <w:color w:val="000000" w:themeColor="text1"/>
          <w:kern w:val="24"/>
        </w:rPr>
        <w:t xml:space="preserve">       -     </w:t>
      </w:r>
      <w:r>
        <w:rPr>
          <w:rFonts w:ascii="Calibri" w:eastAsia="Arial" w:hAnsi="Calibri" w:cs="Arial"/>
          <w:b/>
          <w:bCs/>
          <w:color w:val="000000" w:themeColor="text1"/>
          <w:kern w:val="24"/>
          <w:u w:val="single"/>
        </w:rPr>
        <w:t>Lieu</w:t>
      </w:r>
      <w:r>
        <w:rPr>
          <w:rFonts w:ascii="Calibri" w:eastAsia="Arial" w:hAnsi="Calibri" w:cs="Arial"/>
          <w:color w:val="000000" w:themeColor="text1"/>
          <w:kern w:val="24"/>
        </w:rPr>
        <w:t> : Parc des Expositions de Berlin</w:t>
      </w:r>
    </w:p>
    <w:p w:rsidR="009178C1" w:rsidRDefault="009178C1" w:rsidP="009178C1">
      <w:pPr>
        <w:pStyle w:val="NormalWeb"/>
        <w:spacing w:before="0" w:beforeAutospacing="0" w:after="0" w:afterAutospacing="0"/>
        <w:textAlignment w:val="baseline"/>
      </w:pPr>
      <w:r>
        <w:rPr>
          <w:rFonts w:ascii="Calibri" w:eastAsia="Arial" w:hAnsi="Calibri" w:cs="Arial"/>
          <w:color w:val="000000" w:themeColor="text1"/>
          <w:kern w:val="24"/>
        </w:rPr>
        <w:t xml:space="preserve">       -     </w:t>
      </w:r>
      <w:r>
        <w:rPr>
          <w:rFonts w:ascii="Calibri" w:eastAsia="Arial" w:hAnsi="Calibri" w:cs="Arial"/>
          <w:b/>
          <w:bCs/>
          <w:color w:val="000000" w:themeColor="text1"/>
          <w:kern w:val="24"/>
          <w:u w:val="single"/>
        </w:rPr>
        <w:t xml:space="preserve">Espace d’exposition </w:t>
      </w:r>
      <w:r>
        <w:rPr>
          <w:rFonts w:ascii="Calibri" w:eastAsia="Arial" w:hAnsi="Calibri" w:cs="Arial"/>
          <w:color w:val="000000" w:themeColor="text1"/>
          <w:kern w:val="24"/>
        </w:rPr>
        <w:t>: 200 000 m² / voies : 3 500 m</w:t>
      </w:r>
    </w:p>
    <w:p w:rsidR="006F503E" w:rsidRDefault="006F503E" w:rsidP="009178C1">
      <w:pPr>
        <w:rPr>
          <w:sz w:val="40"/>
          <w:szCs w:val="40"/>
        </w:rPr>
      </w:pPr>
    </w:p>
    <w:p w:rsidR="009178C1" w:rsidRDefault="006F503E" w:rsidP="006F503E">
      <w:pPr>
        <w:rPr>
          <w:rFonts w:ascii="Calibri" w:eastAsiaTheme="majorEastAsia" w:hAnsi="Calibri" w:cstheme="majorBidi"/>
          <w:sz w:val="36"/>
          <w:szCs w:val="36"/>
          <w:u w:val="single"/>
        </w:rPr>
      </w:pPr>
      <w:r w:rsidRPr="006F503E">
        <w:rPr>
          <w:sz w:val="40"/>
          <w:szCs w:val="40"/>
        </w:rPr>
        <w:t>2/</w:t>
      </w:r>
      <w:r w:rsidRPr="006F503E">
        <w:rPr>
          <w:rFonts w:ascii="Calibri" w:eastAsiaTheme="majorEastAsia" w:hAnsi="Calibri" w:cstheme="majorBidi"/>
          <w:sz w:val="36"/>
          <w:szCs w:val="36"/>
          <w:u w:val="single"/>
        </w:rPr>
        <w:t>La participation Tunisienne</w:t>
      </w:r>
    </w:p>
    <w:p w:rsidR="00D97830" w:rsidRDefault="00D97830" w:rsidP="007344A1">
      <w:pPr>
        <w:pStyle w:val="NormalWeb"/>
        <w:shd w:val="clear" w:color="auto" w:fill="FFFFFF"/>
        <w:spacing w:before="240" w:beforeAutospacing="0" w:after="240" w:afterAutospacing="0"/>
        <w:ind w:firstLine="709"/>
        <w:jc w:val="both"/>
        <w:rPr>
          <w:rFonts w:asciiTheme="minorHAnsi" w:hAnsiTheme="minorHAnsi" w:cs="Traditional Arabic"/>
        </w:rPr>
      </w:pPr>
      <w:r w:rsidRPr="00D97830">
        <w:rPr>
          <w:rFonts w:asciiTheme="minorHAnsi" w:hAnsiTheme="minorHAnsi" w:cs="Traditional Arabic"/>
        </w:rPr>
        <w:t xml:space="preserve">La Tunisie a participé à la </w:t>
      </w:r>
      <w:r>
        <w:rPr>
          <w:rFonts w:asciiTheme="minorHAnsi" w:hAnsiTheme="minorHAnsi" w:cs="Traditional Arabic"/>
        </w:rPr>
        <w:t>12</w:t>
      </w:r>
      <w:r w:rsidR="00FC508F" w:rsidRPr="00D97830">
        <w:rPr>
          <w:rFonts w:asciiTheme="minorHAnsi" w:hAnsiTheme="minorHAnsi" w:cs="Traditional Arabic"/>
        </w:rPr>
        <w:t>ème</w:t>
      </w:r>
      <w:r w:rsidRPr="00D97830">
        <w:rPr>
          <w:rFonts w:asciiTheme="minorHAnsi" w:hAnsiTheme="minorHAnsi" w:cs="Traditional Arabic"/>
        </w:rPr>
        <w:t xml:space="preserve"> édition </w:t>
      </w:r>
      <w:r>
        <w:rPr>
          <w:rFonts w:asciiTheme="minorHAnsi" w:hAnsiTheme="minorHAnsi" w:cs="Traditional Arabic"/>
        </w:rPr>
        <w:t>du salon INNOTRANS</w:t>
      </w:r>
      <w:r w:rsidRPr="00D97830">
        <w:rPr>
          <w:rFonts w:asciiTheme="minorHAnsi" w:hAnsiTheme="minorHAnsi" w:cs="Traditional Arabic"/>
        </w:rPr>
        <w:t xml:space="preserve"> avec un pavillon national d’une superficie </w:t>
      </w:r>
      <w:r w:rsidRPr="007344A1">
        <w:rPr>
          <w:rFonts w:asciiTheme="minorHAnsi" w:hAnsiTheme="minorHAnsi" w:cs="Traditional Arabic"/>
          <w:b/>
          <w:bCs/>
          <w:u w:val="single"/>
        </w:rPr>
        <w:t xml:space="preserve">de 56 m² </w:t>
      </w:r>
      <w:r w:rsidR="007344A1" w:rsidRPr="007344A1">
        <w:rPr>
          <w:rFonts w:asciiTheme="minorHAnsi" w:hAnsiTheme="minorHAnsi" w:cs="Traditional Arabic"/>
          <w:b/>
          <w:bCs/>
          <w:u w:val="single"/>
        </w:rPr>
        <w:t>avec un</w:t>
      </w:r>
      <w:r w:rsidR="00FC508F">
        <w:rPr>
          <w:rFonts w:asciiTheme="minorHAnsi" w:hAnsiTheme="minorHAnsi" w:cs="Traditional Arabic"/>
          <w:b/>
          <w:bCs/>
          <w:u w:val="single"/>
        </w:rPr>
        <w:t>e</w:t>
      </w:r>
      <w:bookmarkStart w:id="0" w:name="_GoBack"/>
      <w:bookmarkEnd w:id="0"/>
      <w:r w:rsidR="007344A1" w:rsidRPr="007344A1">
        <w:rPr>
          <w:rFonts w:asciiTheme="minorHAnsi" w:hAnsiTheme="minorHAnsi" w:cs="Traditional Arabic"/>
          <w:b/>
          <w:bCs/>
          <w:u w:val="single"/>
        </w:rPr>
        <w:t xml:space="preserve"> mezzanine de 25 m²</w:t>
      </w:r>
      <w:r w:rsidR="007344A1">
        <w:rPr>
          <w:rFonts w:asciiTheme="minorHAnsi" w:hAnsiTheme="minorHAnsi" w:cs="Traditional Arabic"/>
        </w:rPr>
        <w:t xml:space="preserve"> </w:t>
      </w:r>
      <w:r w:rsidRPr="00D97830">
        <w:rPr>
          <w:rFonts w:asciiTheme="minorHAnsi" w:hAnsiTheme="minorHAnsi" w:cs="Traditional Arabic"/>
        </w:rPr>
        <w:t xml:space="preserve">regroupant </w:t>
      </w:r>
      <w:r w:rsidRPr="007344A1">
        <w:rPr>
          <w:rFonts w:asciiTheme="minorHAnsi" w:hAnsiTheme="minorHAnsi" w:cs="Traditional Arabic"/>
          <w:b/>
          <w:bCs/>
          <w:u w:val="single"/>
        </w:rPr>
        <w:t>6 entreprises tunisiennes</w:t>
      </w:r>
      <w:r w:rsidRPr="00D97830">
        <w:rPr>
          <w:rFonts w:asciiTheme="minorHAnsi" w:hAnsiTheme="minorHAnsi" w:cs="Traditional Arabic"/>
        </w:rPr>
        <w:t xml:space="preserve"> qui opèrent dans des secteurs </w:t>
      </w:r>
      <w:r>
        <w:rPr>
          <w:rFonts w:asciiTheme="minorHAnsi" w:hAnsiTheme="minorHAnsi" w:cs="Traditional Arabic"/>
        </w:rPr>
        <w:t>de l’</w:t>
      </w:r>
      <w:r w:rsidR="007344A1">
        <w:rPr>
          <w:rFonts w:asciiTheme="minorHAnsi" w:hAnsiTheme="minorHAnsi" w:cs="Traditional Arabic"/>
        </w:rPr>
        <w:t xml:space="preserve">industrie ferroviaire et </w:t>
      </w:r>
      <w:r w:rsidR="007344A1" w:rsidRPr="007344A1">
        <w:rPr>
          <w:rFonts w:asciiTheme="minorHAnsi" w:hAnsiTheme="minorHAnsi" w:cs="Traditional Arabic"/>
          <w:b/>
          <w:bCs/>
          <w:u w:val="single"/>
        </w:rPr>
        <w:t>4 entreprises du secteur public</w:t>
      </w:r>
    </w:p>
    <w:p w:rsidR="007344A1" w:rsidRPr="007344A1" w:rsidRDefault="007344A1" w:rsidP="007344A1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Traditional Arabic" w:hAnsi="Traditional Arabic" w:cs="Traditional Arabic"/>
          <w:b/>
          <w:bCs/>
        </w:rPr>
      </w:pPr>
      <w:r>
        <w:rPr>
          <w:rFonts w:asciiTheme="minorHAnsi" w:hAnsiTheme="minorHAnsi" w:cs="Traditional Arabic"/>
        </w:rPr>
        <w:t>(</w:t>
      </w:r>
      <w:r w:rsidRPr="00F54015">
        <w:rPr>
          <w:rFonts w:asciiTheme="minorHAnsi" w:hAnsiTheme="minorHAnsi" w:cs="Traditional Arabic"/>
          <w:b/>
          <w:bCs/>
        </w:rPr>
        <w:t>SNCFT,</w:t>
      </w:r>
      <w:r w:rsidRPr="007344A1">
        <w:rPr>
          <w:rFonts w:asciiTheme="minorHAnsi" w:hAnsiTheme="minorHAnsi" w:cs="Traditional Arabic"/>
          <w:b/>
          <w:bCs/>
        </w:rPr>
        <w:t xml:space="preserve"> TRANSTU, RFR, SMLS </w:t>
      </w:r>
      <w:r w:rsidR="00FC508F">
        <w:rPr>
          <w:rFonts w:asciiTheme="minorHAnsi" w:hAnsiTheme="minorHAnsi" w:cs="Traditional Arabic"/>
          <w:b/>
          <w:bCs/>
        </w:rPr>
        <w:t>S</w:t>
      </w:r>
      <w:r w:rsidRPr="007344A1">
        <w:rPr>
          <w:rFonts w:asciiTheme="minorHAnsi" w:hAnsiTheme="minorHAnsi" w:cs="Traditional Arabic"/>
          <w:b/>
          <w:bCs/>
        </w:rPr>
        <w:t>ociété métro léger de Sfax)</w:t>
      </w:r>
    </w:p>
    <w:tbl>
      <w:tblPr>
        <w:tblW w:w="10348" w:type="dxa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60"/>
        <w:gridCol w:w="2500"/>
        <w:gridCol w:w="5088"/>
      </w:tblGrid>
      <w:tr w:rsidR="00A11DE1" w:rsidRPr="00A11DE1" w:rsidTr="00A11DE1">
        <w:trPr>
          <w:trHeight w:val="465"/>
        </w:trPr>
        <w:tc>
          <w:tcPr>
            <w:tcW w:w="27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DE1" w:rsidRPr="00A11DE1" w:rsidRDefault="00A11DE1" w:rsidP="00A11DE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11DE1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8"/>
                <w:szCs w:val="28"/>
              </w:rPr>
              <w:t>Raison Sociale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DE1" w:rsidRPr="00A11DE1" w:rsidRDefault="00A11DE1" w:rsidP="00A11DE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11DE1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8"/>
                <w:szCs w:val="28"/>
              </w:rPr>
              <w:t>Responsable</w:t>
            </w:r>
          </w:p>
        </w:tc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DE1" w:rsidRPr="00A11DE1" w:rsidRDefault="00A11DE1" w:rsidP="00A11DE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11DE1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8"/>
                <w:szCs w:val="28"/>
              </w:rPr>
              <w:t>Activité</w:t>
            </w:r>
          </w:p>
        </w:tc>
      </w:tr>
      <w:tr w:rsidR="00A11DE1" w:rsidRPr="00A11DE1" w:rsidTr="00A11DE1">
        <w:trPr>
          <w:trHeight w:val="465"/>
        </w:trPr>
        <w:tc>
          <w:tcPr>
            <w:tcW w:w="27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DE1" w:rsidRPr="00A11DE1" w:rsidRDefault="00A11DE1" w:rsidP="00A1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A11DE1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ENOVE</w:t>
            </w:r>
            <w:r w:rsidRPr="007344A1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 xml:space="preserve"> / ETEL</w:t>
            </w:r>
          </w:p>
        </w:tc>
        <w:tc>
          <w:tcPr>
            <w:tcW w:w="2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DE1" w:rsidRPr="00A11DE1" w:rsidRDefault="00A11DE1" w:rsidP="00A11DE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11DE1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>Peter Bismuth</w:t>
            </w:r>
          </w:p>
        </w:tc>
        <w:tc>
          <w:tcPr>
            <w:tcW w:w="50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DE1" w:rsidRPr="00A11DE1" w:rsidRDefault="00A11DE1" w:rsidP="00A11DE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A11DE1">
              <w:rPr>
                <w:rFonts w:ascii="Calibri" w:hAnsi="Calibri"/>
                <w:color w:val="000000" w:themeColor="dark1"/>
                <w:kern w:val="24"/>
                <w:sz w:val="28"/>
                <w:szCs w:val="28"/>
              </w:rPr>
              <w:t>battery</w:t>
            </w:r>
            <w:proofErr w:type="spellEnd"/>
            <w:r w:rsidRPr="00A11DE1">
              <w:rPr>
                <w:rFonts w:ascii="Calibri" w:hAnsi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11DE1">
              <w:rPr>
                <w:rFonts w:ascii="Calibri" w:hAnsi="Calibri"/>
                <w:color w:val="000000" w:themeColor="dark1"/>
                <w:kern w:val="24"/>
                <w:sz w:val="28"/>
                <w:szCs w:val="28"/>
              </w:rPr>
              <w:t>industrial</w:t>
            </w:r>
            <w:proofErr w:type="spellEnd"/>
            <w:r w:rsidRPr="00A11DE1">
              <w:rPr>
                <w:rFonts w:ascii="Calibri" w:hAnsi="Calibri"/>
                <w:color w:val="000000" w:themeColor="dark1"/>
                <w:kern w:val="24"/>
                <w:sz w:val="28"/>
                <w:szCs w:val="28"/>
              </w:rPr>
              <w:t xml:space="preserve"> air </w:t>
            </w:r>
            <w:proofErr w:type="spellStart"/>
            <w:r w:rsidRPr="00A11DE1">
              <w:rPr>
                <w:rFonts w:ascii="Calibri" w:hAnsi="Calibri"/>
                <w:color w:val="000000" w:themeColor="dark1"/>
                <w:kern w:val="24"/>
                <w:sz w:val="28"/>
                <w:szCs w:val="28"/>
              </w:rPr>
              <w:t>depolarised</w:t>
            </w:r>
            <w:proofErr w:type="spellEnd"/>
          </w:p>
        </w:tc>
      </w:tr>
      <w:tr w:rsidR="00A11DE1" w:rsidRPr="00FC508F" w:rsidTr="00A11DE1">
        <w:trPr>
          <w:trHeight w:val="465"/>
        </w:trPr>
        <w:tc>
          <w:tcPr>
            <w:tcW w:w="2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DE1" w:rsidRPr="00A11DE1" w:rsidRDefault="00A11DE1" w:rsidP="00A1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A11DE1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 xml:space="preserve">RAIL </w:t>
            </w:r>
            <w:proofErr w:type="spellStart"/>
            <w:r w:rsidRPr="00A11DE1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RAIL</w:t>
            </w:r>
            <w:proofErr w:type="spellEnd"/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DE1" w:rsidRPr="00A11DE1" w:rsidRDefault="00A11DE1" w:rsidP="00A11DE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A11DE1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>Abdelmonem</w:t>
            </w:r>
            <w:proofErr w:type="spellEnd"/>
            <w:r w:rsidRPr="00A11DE1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Hammami</w:t>
            </w:r>
          </w:p>
        </w:tc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DE1" w:rsidRPr="00A11DE1" w:rsidRDefault="00A11DE1" w:rsidP="00A11DE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A11DE1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  <w:lang w:val="en-US"/>
              </w:rPr>
              <w:t>Rail fasteners, insulating gasket, clips, rails components</w:t>
            </w:r>
          </w:p>
        </w:tc>
      </w:tr>
      <w:tr w:rsidR="00A11DE1" w:rsidRPr="00A11DE1" w:rsidTr="00A11DE1">
        <w:trPr>
          <w:trHeight w:val="465"/>
        </w:trPr>
        <w:tc>
          <w:tcPr>
            <w:tcW w:w="2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DE1" w:rsidRPr="00A11DE1" w:rsidRDefault="00A11DE1" w:rsidP="00A1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A11DE1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EL MAWASSIR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DE1" w:rsidRPr="00A11DE1" w:rsidRDefault="00A11DE1" w:rsidP="00A11DE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11DE1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>Bechir Mrabet</w:t>
            </w:r>
          </w:p>
        </w:tc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DE1" w:rsidRPr="00A11DE1" w:rsidRDefault="00A11DE1" w:rsidP="00A11DE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A11DE1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>Rubber</w:t>
            </w:r>
            <w:proofErr w:type="spellEnd"/>
            <w:r w:rsidRPr="00A11DE1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&amp; </w:t>
            </w:r>
            <w:proofErr w:type="spellStart"/>
            <w:r w:rsidRPr="00A11DE1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>rubber</w:t>
            </w:r>
            <w:proofErr w:type="spellEnd"/>
            <w:r w:rsidRPr="00A11DE1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A11DE1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>products</w:t>
            </w:r>
            <w:proofErr w:type="spellEnd"/>
          </w:p>
        </w:tc>
      </w:tr>
      <w:tr w:rsidR="00A11DE1" w:rsidRPr="00A11DE1" w:rsidTr="00A11DE1">
        <w:trPr>
          <w:trHeight w:val="465"/>
        </w:trPr>
        <w:tc>
          <w:tcPr>
            <w:tcW w:w="2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DE1" w:rsidRPr="00A11DE1" w:rsidRDefault="00A11DE1" w:rsidP="00A1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A11DE1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BEMAI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DE1" w:rsidRPr="00A11DE1" w:rsidRDefault="00A11DE1" w:rsidP="00A11DE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11DE1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>Zied Tounsi</w:t>
            </w:r>
          </w:p>
        </w:tc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DE1" w:rsidRPr="00A11DE1" w:rsidRDefault="00A11DE1" w:rsidP="00A11DE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11DE1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Signalisation ferroviaire </w:t>
            </w:r>
          </w:p>
        </w:tc>
      </w:tr>
      <w:tr w:rsidR="00A11DE1" w:rsidRPr="00A11DE1" w:rsidTr="00A11DE1">
        <w:trPr>
          <w:trHeight w:val="760"/>
        </w:trPr>
        <w:tc>
          <w:tcPr>
            <w:tcW w:w="2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DE1" w:rsidRPr="00A11DE1" w:rsidRDefault="00A11DE1" w:rsidP="00A11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A11DE1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IBL Electronics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DE1" w:rsidRPr="00A11DE1" w:rsidRDefault="00A11DE1" w:rsidP="00A11DE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11DE1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Hamdi </w:t>
            </w:r>
            <w:proofErr w:type="spellStart"/>
            <w:r w:rsidRPr="00A11DE1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>Channoufi</w:t>
            </w:r>
            <w:proofErr w:type="spellEnd"/>
          </w:p>
        </w:tc>
        <w:tc>
          <w:tcPr>
            <w:tcW w:w="5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1DE1" w:rsidRPr="00A11DE1" w:rsidRDefault="00A11DE1" w:rsidP="00A11DE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11DE1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 xml:space="preserve">Soft&amp; hard </w:t>
            </w:r>
            <w:proofErr w:type="spellStart"/>
            <w:r w:rsidRPr="00A11DE1">
              <w:rPr>
                <w:rFonts w:ascii="Calibri" w:eastAsia="Times New Roman" w:hAnsi="Calibri" w:cs="Arial"/>
                <w:color w:val="000000" w:themeColor="dark1"/>
                <w:kern w:val="24"/>
                <w:sz w:val="28"/>
                <w:szCs w:val="28"/>
              </w:rPr>
              <w:t>development</w:t>
            </w:r>
            <w:proofErr w:type="spellEnd"/>
          </w:p>
        </w:tc>
      </w:tr>
    </w:tbl>
    <w:p w:rsidR="007344A1" w:rsidRPr="006F503E" w:rsidRDefault="007344A1" w:rsidP="007344A1">
      <w:pPr>
        <w:rPr>
          <w:sz w:val="40"/>
          <w:szCs w:val="40"/>
        </w:rPr>
      </w:pPr>
    </w:p>
    <w:sectPr w:rsidR="007344A1" w:rsidRPr="006F5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53985"/>
    <w:multiLevelType w:val="hybridMultilevel"/>
    <w:tmpl w:val="A172423E"/>
    <w:lvl w:ilvl="0" w:tplc="A4A01F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3282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5A4B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4020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8CB0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4257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2A98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4424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22D9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C1"/>
    <w:rsid w:val="004F0A28"/>
    <w:rsid w:val="006F503E"/>
    <w:rsid w:val="007344A1"/>
    <w:rsid w:val="009178C1"/>
    <w:rsid w:val="00A11DE1"/>
    <w:rsid w:val="00D97830"/>
    <w:rsid w:val="00F54015"/>
    <w:rsid w:val="00FC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FDE6"/>
  <w15:chartTrackingRefBased/>
  <w15:docId w15:val="{97A980A2-9D1C-4F25-8608-C4980E38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78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1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Noamene HAMDANI</dc:creator>
  <cp:keywords/>
  <dc:description/>
  <cp:lastModifiedBy>RAOUDHA JERBI</cp:lastModifiedBy>
  <cp:revision>2</cp:revision>
  <dcterms:created xsi:type="dcterms:W3CDTF">2018-09-14T10:15:00Z</dcterms:created>
  <dcterms:modified xsi:type="dcterms:W3CDTF">2018-09-14T10:15:00Z</dcterms:modified>
</cp:coreProperties>
</file>