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28" w:rsidRPr="007344A1" w:rsidRDefault="009178C1" w:rsidP="009178C1">
      <w:pPr>
        <w:jc w:val="center"/>
        <w:rPr>
          <w:rFonts w:ascii="Calibri" w:eastAsiaTheme="majorEastAsia" w:hAnsi="Calibri" w:cstheme="majorBidi"/>
          <w:sz w:val="40"/>
          <w:szCs w:val="40"/>
          <w:u w:val="single"/>
        </w:rPr>
      </w:pPr>
      <w:r w:rsidRPr="007344A1">
        <w:rPr>
          <w:rFonts w:ascii="Calibri" w:eastAsiaTheme="majorEastAsia" w:hAnsi="Calibri" w:cstheme="majorBidi"/>
          <w:sz w:val="40"/>
          <w:szCs w:val="40"/>
          <w:u w:val="single"/>
        </w:rPr>
        <w:t>La participation Tunisienne au</w:t>
      </w:r>
    </w:p>
    <w:p w:rsidR="009178C1" w:rsidRPr="007344A1" w:rsidRDefault="009178C1" w:rsidP="00752CA3">
      <w:pPr>
        <w:jc w:val="center"/>
        <w:rPr>
          <w:rFonts w:ascii="Calibri" w:eastAsiaTheme="majorEastAsia" w:hAnsi="Calibri" w:cstheme="majorBidi"/>
          <w:sz w:val="40"/>
          <w:szCs w:val="40"/>
          <w:u w:val="single"/>
        </w:rPr>
      </w:pPr>
      <w:proofErr w:type="gramStart"/>
      <w:r w:rsidRPr="007344A1">
        <w:rPr>
          <w:rFonts w:ascii="Calibri" w:eastAsiaTheme="majorEastAsia" w:hAnsi="Calibri" w:cstheme="majorBidi"/>
          <w:sz w:val="40"/>
          <w:szCs w:val="40"/>
          <w:u w:val="single"/>
        </w:rPr>
        <w:t>salon</w:t>
      </w:r>
      <w:proofErr w:type="gramEnd"/>
      <w:r w:rsidRPr="007344A1">
        <w:rPr>
          <w:rFonts w:ascii="Calibri" w:eastAsiaTheme="majorEastAsia" w:hAnsi="Calibri" w:cstheme="majorBidi"/>
          <w:sz w:val="40"/>
          <w:szCs w:val="40"/>
          <w:u w:val="single"/>
        </w:rPr>
        <w:t xml:space="preserve"> </w:t>
      </w:r>
      <w:r w:rsidR="00752CA3">
        <w:rPr>
          <w:rFonts w:ascii="Calibri" w:eastAsiaTheme="majorEastAsia" w:hAnsi="Calibri" w:cstheme="majorBidi"/>
          <w:sz w:val="40"/>
          <w:szCs w:val="40"/>
          <w:u w:val="single"/>
        </w:rPr>
        <w:t>MEDICA</w:t>
      </w:r>
    </w:p>
    <w:p w:rsidR="00D97830" w:rsidRDefault="00752CA3" w:rsidP="00752CA3">
      <w:pPr>
        <w:jc w:val="center"/>
        <w:rPr>
          <w:rFonts w:ascii="Calibri" w:eastAsiaTheme="majorEastAsia" w:hAnsi="Calibri" w:cstheme="majorBidi"/>
          <w:sz w:val="40"/>
          <w:szCs w:val="40"/>
          <w:u w:val="single"/>
        </w:rPr>
      </w:pPr>
      <w:r>
        <w:rPr>
          <w:rFonts w:ascii="Calibri" w:eastAsiaTheme="majorEastAsia" w:hAnsi="Calibri" w:cstheme="majorBidi"/>
          <w:sz w:val="40"/>
          <w:szCs w:val="40"/>
          <w:u w:val="single"/>
        </w:rPr>
        <w:t>Düsseldorf</w:t>
      </w:r>
      <w:r w:rsidR="00D97830" w:rsidRPr="007344A1">
        <w:rPr>
          <w:rFonts w:ascii="Calibri" w:eastAsiaTheme="majorEastAsia" w:hAnsi="Calibri" w:cstheme="majorBidi"/>
          <w:sz w:val="40"/>
          <w:szCs w:val="40"/>
          <w:u w:val="single"/>
        </w:rPr>
        <w:t xml:space="preserve"> du 1</w:t>
      </w:r>
      <w:r>
        <w:rPr>
          <w:rFonts w:ascii="Calibri" w:eastAsiaTheme="majorEastAsia" w:hAnsi="Calibri" w:cstheme="majorBidi"/>
          <w:sz w:val="40"/>
          <w:szCs w:val="40"/>
          <w:u w:val="single"/>
        </w:rPr>
        <w:t>2</w:t>
      </w:r>
      <w:r w:rsidR="00D97830" w:rsidRPr="007344A1">
        <w:rPr>
          <w:rFonts w:ascii="Calibri" w:eastAsiaTheme="majorEastAsia" w:hAnsi="Calibri" w:cstheme="majorBidi"/>
          <w:sz w:val="40"/>
          <w:szCs w:val="40"/>
          <w:u w:val="single"/>
        </w:rPr>
        <w:t xml:space="preserve"> au </w:t>
      </w:r>
      <w:r>
        <w:rPr>
          <w:rFonts w:ascii="Calibri" w:eastAsiaTheme="majorEastAsia" w:hAnsi="Calibri" w:cstheme="majorBidi"/>
          <w:sz w:val="40"/>
          <w:szCs w:val="40"/>
          <w:u w:val="single"/>
        </w:rPr>
        <w:t>15</w:t>
      </w:r>
      <w:r w:rsidR="00D97830" w:rsidRPr="007344A1">
        <w:rPr>
          <w:rFonts w:ascii="Calibri" w:eastAsiaTheme="majorEastAsia" w:hAnsi="Calibri" w:cstheme="majorBidi"/>
          <w:sz w:val="40"/>
          <w:szCs w:val="40"/>
          <w:u w:val="single"/>
        </w:rPr>
        <w:t xml:space="preserve"> </w:t>
      </w:r>
      <w:r>
        <w:rPr>
          <w:rFonts w:ascii="Calibri" w:eastAsiaTheme="majorEastAsia" w:hAnsi="Calibri" w:cstheme="majorBidi"/>
          <w:sz w:val="40"/>
          <w:szCs w:val="40"/>
          <w:u w:val="single"/>
        </w:rPr>
        <w:t>nove</w:t>
      </w:r>
      <w:r w:rsidR="00D97830" w:rsidRPr="007344A1">
        <w:rPr>
          <w:rFonts w:ascii="Calibri" w:eastAsiaTheme="majorEastAsia" w:hAnsi="Calibri" w:cstheme="majorBidi"/>
          <w:sz w:val="40"/>
          <w:szCs w:val="40"/>
          <w:u w:val="single"/>
        </w:rPr>
        <w:t>mbre 2018</w:t>
      </w:r>
    </w:p>
    <w:p w:rsidR="007344A1" w:rsidRPr="007344A1" w:rsidRDefault="007344A1" w:rsidP="009178C1">
      <w:pPr>
        <w:jc w:val="center"/>
        <w:rPr>
          <w:sz w:val="40"/>
          <w:szCs w:val="40"/>
          <w:u w:val="single"/>
        </w:rPr>
      </w:pPr>
    </w:p>
    <w:p w:rsidR="009178C1" w:rsidRPr="006F503E" w:rsidRDefault="009178C1" w:rsidP="009178C1">
      <w:pPr>
        <w:rPr>
          <w:rFonts w:ascii="Calibri" w:eastAsiaTheme="majorEastAsia" w:hAnsi="Calibri" w:cstheme="majorBidi"/>
          <w:sz w:val="36"/>
          <w:szCs w:val="36"/>
          <w:u w:val="single"/>
        </w:rPr>
      </w:pPr>
      <w:r w:rsidRPr="006F503E">
        <w:rPr>
          <w:sz w:val="40"/>
          <w:szCs w:val="40"/>
        </w:rPr>
        <w:t xml:space="preserve">1/ </w:t>
      </w:r>
      <w:r w:rsidRPr="006F503E">
        <w:rPr>
          <w:rFonts w:ascii="Calibri" w:eastAsiaTheme="majorEastAsia" w:hAnsi="Calibri" w:cstheme="majorBidi"/>
          <w:sz w:val="36"/>
          <w:szCs w:val="36"/>
          <w:u w:val="single"/>
        </w:rPr>
        <w:t>Présentation du salon</w:t>
      </w:r>
    </w:p>
    <w:p w:rsidR="009178C1" w:rsidRDefault="009178C1" w:rsidP="00752CA3">
      <w:pPr>
        <w:pStyle w:val="Paragraphedeliste"/>
        <w:numPr>
          <w:ilvl w:val="0"/>
          <w:numId w:val="1"/>
        </w:numPr>
        <w:textAlignment w:val="baseline"/>
      </w:pPr>
      <w:r>
        <w:rPr>
          <w:rFonts w:ascii="Calibri" w:eastAsia="Calibri" w:hAnsi="Calibri" w:cs="Calibri"/>
          <w:b/>
          <w:bCs/>
          <w:color w:val="000000" w:themeColor="text1"/>
          <w:kern w:val="24"/>
          <w:u w:val="single"/>
        </w:rPr>
        <w:t>Lieu</w:t>
      </w:r>
      <w:r>
        <w:rPr>
          <w:rFonts w:ascii="Calibri" w:eastAsia="Calibri" w:hAnsi="Calibri" w:cs="Calibri"/>
          <w:color w:val="000000" w:themeColor="text1"/>
          <w:kern w:val="24"/>
        </w:rPr>
        <w:t xml:space="preserve"> : </w:t>
      </w:r>
      <w:r w:rsidR="00752CA3">
        <w:rPr>
          <w:rFonts w:ascii="Calibri" w:eastAsia="Calibri" w:hAnsi="Calibri" w:cs="Calibri"/>
          <w:color w:val="000000" w:themeColor="text1"/>
          <w:kern w:val="24"/>
        </w:rPr>
        <w:t>Düsseldorf</w:t>
      </w:r>
      <w:r>
        <w:rPr>
          <w:rFonts w:ascii="Calibri" w:eastAsia="Calibri" w:hAnsi="Calibri" w:cs="Calibri"/>
          <w:color w:val="000000" w:themeColor="text1"/>
          <w:kern w:val="24"/>
        </w:rPr>
        <w:t xml:space="preserve"> </w:t>
      </w:r>
    </w:p>
    <w:p w:rsidR="00752CA3" w:rsidRPr="00752CA3" w:rsidRDefault="009178C1" w:rsidP="00FD6570">
      <w:pPr>
        <w:pStyle w:val="Paragraphedeliste"/>
        <w:numPr>
          <w:ilvl w:val="0"/>
          <w:numId w:val="1"/>
        </w:numPr>
        <w:textAlignment w:val="baseline"/>
      </w:pPr>
      <w:r w:rsidRPr="00752CA3">
        <w:rPr>
          <w:rFonts w:ascii="Calibri" w:eastAsia="Arial" w:hAnsi="Calibri" w:cs="Arial"/>
          <w:b/>
          <w:bCs/>
          <w:color w:val="000000" w:themeColor="text1"/>
          <w:kern w:val="24"/>
          <w:u w:val="single"/>
        </w:rPr>
        <w:t>Organisateur</w:t>
      </w:r>
      <w:r w:rsidRPr="00752CA3">
        <w:rPr>
          <w:rFonts w:ascii="Calibri" w:eastAsia="Arial" w:hAnsi="Calibri" w:cs="Arial"/>
          <w:color w:val="000000" w:themeColor="text1"/>
          <w:kern w:val="24"/>
        </w:rPr>
        <w:t xml:space="preserve"> : Messe </w:t>
      </w:r>
      <w:r w:rsidR="00752CA3">
        <w:rPr>
          <w:rFonts w:ascii="Calibri" w:eastAsia="Calibri" w:hAnsi="Calibri" w:cs="Calibri"/>
          <w:color w:val="000000" w:themeColor="text1"/>
          <w:kern w:val="24"/>
        </w:rPr>
        <w:t xml:space="preserve">Düsseldorf </w:t>
      </w:r>
    </w:p>
    <w:p w:rsidR="009178C1" w:rsidRDefault="009178C1" w:rsidP="00752CA3">
      <w:pPr>
        <w:pStyle w:val="Paragraphedeliste"/>
        <w:numPr>
          <w:ilvl w:val="0"/>
          <w:numId w:val="1"/>
        </w:numPr>
        <w:textAlignment w:val="baseline"/>
      </w:pPr>
      <w:r>
        <w:rPr>
          <w:rFonts w:ascii="Calibri" w:eastAsia="Calibri" w:hAnsi="Calibri" w:cs="Calibri"/>
          <w:b/>
          <w:bCs/>
          <w:color w:val="000000" w:themeColor="text1"/>
          <w:kern w:val="24"/>
          <w:u w:val="single"/>
        </w:rPr>
        <w:t>Rotation</w:t>
      </w:r>
      <w:r>
        <w:rPr>
          <w:rFonts w:ascii="Calibri" w:eastAsia="Calibri" w:hAnsi="Calibri" w:cs="Calibri"/>
          <w:color w:val="000000" w:themeColor="text1"/>
          <w:kern w:val="24"/>
          <w:u w:val="single"/>
        </w:rPr>
        <w:t xml:space="preserve"> : </w:t>
      </w:r>
      <w:r w:rsidR="00752CA3">
        <w:rPr>
          <w:rFonts w:ascii="Calibri" w:eastAsia="Calibri" w:hAnsi="Calibri" w:cs="Calibri"/>
          <w:color w:val="000000" w:themeColor="text1"/>
          <w:kern w:val="24"/>
        </w:rPr>
        <w:t>annuel</w:t>
      </w:r>
    </w:p>
    <w:p w:rsidR="009178C1" w:rsidRDefault="009178C1" w:rsidP="00752CA3">
      <w:pPr>
        <w:pStyle w:val="NormalWeb"/>
        <w:spacing w:before="0" w:beforeAutospacing="0" w:after="0" w:afterAutospacing="0"/>
        <w:textAlignment w:val="baseline"/>
      </w:pPr>
      <w:r>
        <w:rPr>
          <w:rFonts w:ascii="Calibri" w:eastAsia="Arial" w:hAnsi="Calibri" w:cs="Arial"/>
          <w:b/>
          <w:bCs/>
          <w:color w:val="000000" w:themeColor="text1"/>
          <w:kern w:val="24"/>
        </w:rPr>
        <w:t xml:space="preserve">       -</w:t>
      </w:r>
      <w:r w:rsidR="00752CA3">
        <w:rPr>
          <w:rFonts w:ascii="Calibri" w:eastAsia="Arial" w:hAnsi="Calibri" w:cs="Arial"/>
          <w:b/>
          <w:bCs/>
          <w:color w:val="000000" w:themeColor="text1"/>
          <w:kern w:val="24"/>
          <w:sz w:val="48"/>
          <w:szCs w:val="48"/>
        </w:rPr>
        <w:t xml:space="preserve">   </w:t>
      </w:r>
      <w:r>
        <w:rPr>
          <w:rFonts w:ascii="Calibri" w:eastAsia="Arial" w:hAnsi="Calibri" w:cs="Arial"/>
          <w:b/>
          <w:bCs/>
          <w:color w:val="000000" w:themeColor="text1"/>
          <w:kern w:val="24"/>
          <w:u w:val="single"/>
        </w:rPr>
        <w:t>Date</w:t>
      </w:r>
      <w:r>
        <w:rPr>
          <w:rFonts w:ascii="Calibri" w:eastAsia="Arial" w:hAnsi="Calibri" w:cs="Arial"/>
          <w:color w:val="000000" w:themeColor="text1"/>
          <w:kern w:val="24"/>
        </w:rPr>
        <w:t xml:space="preserve"> : </w:t>
      </w:r>
      <w:r w:rsidR="00752CA3">
        <w:rPr>
          <w:rFonts w:ascii="Calibri" w:eastAsia="Arial" w:hAnsi="Calibri" w:cs="Arial"/>
          <w:color w:val="000000" w:themeColor="text1"/>
          <w:kern w:val="24"/>
        </w:rPr>
        <w:t>12</w:t>
      </w:r>
      <w:r>
        <w:rPr>
          <w:rFonts w:ascii="Calibri" w:eastAsia="Arial" w:hAnsi="Calibri" w:cs="Arial"/>
          <w:color w:val="000000" w:themeColor="text1"/>
          <w:kern w:val="24"/>
        </w:rPr>
        <w:t>-</w:t>
      </w:r>
      <w:r w:rsidR="00752CA3">
        <w:rPr>
          <w:rFonts w:ascii="Calibri" w:eastAsia="Arial" w:hAnsi="Calibri" w:cs="Arial"/>
          <w:color w:val="000000" w:themeColor="text1"/>
          <w:kern w:val="24"/>
        </w:rPr>
        <w:t>15</w:t>
      </w:r>
      <w:r>
        <w:rPr>
          <w:rFonts w:ascii="Calibri" w:eastAsia="Arial" w:hAnsi="Calibri" w:cs="Arial"/>
          <w:color w:val="000000" w:themeColor="text1"/>
          <w:kern w:val="24"/>
        </w:rPr>
        <w:t xml:space="preserve"> </w:t>
      </w:r>
      <w:r w:rsidR="00752CA3">
        <w:rPr>
          <w:rFonts w:ascii="Calibri" w:eastAsia="Arial" w:hAnsi="Calibri" w:cs="Arial"/>
          <w:color w:val="000000" w:themeColor="text1"/>
          <w:kern w:val="24"/>
        </w:rPr>
        <w:t>novembre</w:t>
      </w:r>
      <w:r>
        <w:rPr>
          <w:rFonts w:ascii="Calibri" w:eastAsia="Arial" w:hAnsi="Calibri" w:cs="Arial"/>
          <w:color w:val="000000" w:themeColor="text1"/>
          <w:kern w:val="24"/>
        </w:rPr>
        <w:t xml:space="preserve"> 2018</w:t>
      </w:r>
    </w:p>
    <w:p w:rsidR="009178C1" w:rsidRDefault="009178C1" w:rsidP="00752CA3">
      <w:pPr>
        <w:pStyle w:val="NormalWeb"/>
        <w:spacing w:before="0" w:beforeAutospacing="0" w:after="0" w:afterAutospacing="0"/>
        <w:textAlignment w:val="baseline"/>
      </w:pPr>
      <w:r>
        <w:rPr>
          <w:rFonts w:ascii="Calibri" w:eastAsia="Arial" w:hAnsi="Calibri" w:cs="Arial"/>
          <w:color w:val="000000" w:themeColor="text1"/>
          <w:kern w:val="24"/>
        </w:rPr>
        <w:t xml:space="preserve">       -     </w:t>
      </w:r>
      <w:r>
        <w:rPr>
          <w:rFonts w:ascii="Calibri" w:eastAsia="Arial" w:hAnsi="Calibri" w:cs="Arial"/>
          <w:b/>
          <w:bCs/>
          <w:color w:val="000000" w:themeColor="text1"/>
          <w:kern w:val="24"/>
          <w:u w:val="single"/>
        </w:rPr>
        <w:t>Lieu</w:t>
      </w:r>
      <w:r>
        <w:rPr>
          <w:rFonts w:ascii="Calibri" w:eastAsia="Arial" w:hAnsi="Calibri" w:cs="Arial"/>
          <w:color w:val="000000" w:themeColor="text1"/>
          <w:kern w:val="24"/>
        </w:rPr>
        <w:t xml:space="preserve"> : Parc des Expositions de </w:t>
      </w:r>
      <w:r w:rsidR="00752CA3">
        <w:rPr>
          <w:rFonts w:ascii="Calibri" w:eastAsia="Calibri" w:hAnsi="Calibri" w:cs="Calibri"/>
          <w:color w:val="000000" w:themeColor="text1"/>
          <w:kern w:val="24"/>
        </w:rPr>
        <w:t>Düsseldorf</w:t>
      </w:r>
    </w:p>
    <w:p w:rsidR="009178C1" w:rsidRDefault="009178C1" w:rsidP="00752CA3">
      <w:pPr>
        <w:pStyle w:val="NormalWeb"/>
        <w:spacing w:before="0" w:beforeAutospacing="0" w:after="0" w:afterAutospacing="0"/>
        <w:textAlignment w:val="baseline"/>
        <w:rPr>
          <w:rFonts w:ascii="Calibri" w:eastAsia="Arial" w:hAnsi="Calibri" w:cs="Arial"/>
          <w:color w:val="000000" w:themeColor="text1"/>
          <w:kern w:val="24"/>
        </w:rPr>
      </w:pPr>
      <w:r>
        <w:rPr>
          <w:rFonts w:ascii="Calibri" w:eastAsia="Arial" w:hAnsi="Calibri" w:cs="Arial"/>
          <w:color w:val="000000" w:themeColor="text1"/>
          <w:kern w:val="24"/>
        </w:rPr>
        <w:t xml:space="preserve">       -     </w:t>
      </w:r>
      <w:proofErr w:type="spellStart"/>
      <w:r w:rsidR="00752CA3">
        <w:rPr>
          <w:rFonts w:ascii="Calibri" w:eastAsia="Arial" w:hAnsi="Calibri" w:cs="Arial"/>
          <w:b/>
          <w:bCs/>
          <w:color w:val="000000" w:themeColor="text1"/>
          <w:kern w:val="24"/>
          <w:u w:val="single"/>
        </w:rPr>
        <w:t>Nbre</w:t>
      </w:r>
      <w:proofErr w:type="spellEnd"/>
      <w:r w:rsidR="00752CA3">
        <w:rPr>
          <w:rFonts w:ascii="Calibri" w:eastAsia="Arial" w:hAnsi="Calibri" w:cs="Arial"/>
          <w:b/>
          <w:bCs/>
          <w:color w:val="000000" w:themeColor="text1"/>
          <w:kern w:val="24"/>
          <w:u w:val="single"/>
        </w:rPr>
        <w:t xml:space="preserve"> exposants</w:t>
      </w:r>
      <w:r>
        <w:rPr>
          <w:rFonts w:ascii="Calibri" w:eastAsia="Arial" w:hAnsi="Calibri" w:cs="Arial"/>
          <w:b/>
          <w:bCs/>
          <w:color w:val="000000" w:themeColor="text1"/>
          <w:kern w:val="24"/>
          <w:u w:val="single"/>
        </w:rPr>
        <w:t xml:space="preserve"> </w:t>
      </w:r>
      <w:r>
        <w:rPr>
          <w:rFonts w:ascii="Calibri" w:eastAsia="Arial" w:hAnsi="Calibri" w:cs="Arial"/>
          <w:color w:val="000000" w:themeColor="text1"/>
          <w:kern w:val="24"/>
        </w:rPr>
        <w:t xml:space="preserve">: </w:t>
      </w:r>
      <w:r w:rsidR="00752CA3">
        <w:rPr>
          <w:rFonts w:ascii="Calibri" w:eastAsia="Arial" w:hAnsi="Calibri" w:cs="Arial"/>
          <w:color w:val="000000" w:themeColor="text1"/>
          <w:kern w:val="24"/>
        </w:rPr>
        <w:t>5 148 dont 4198 exposants étrangers</w:t>
      </w:r>
    </w:p>
    <w:p w:rsidR="00752CA3" w:rsidRDefault="00752CA3" w:rsidP="00752C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Arial" w:hAnsi="Calibri" w:cs="Arial"/>
          <w:color w:val="000000" w:themeColor="text1"/>
          <w:kern w:val="24"/>
        </w:rPr>
      </w:pPr>
      <w:proofErr w:type="spellStart"/>
      <w:r>
        <w:rPr>
          <w:rFonts w:ascii="Calibri" w:eastAsia="Arial" w:hAnsi="Calibri" w:cs="Arial"/>
          <w:b/>
          <w:bCs/>
          <w:color w:val="000000" w:themeColor="text1"/>
          <w:kern w:val="24"/>
          <w:u w:val="single"/>
        </w:rPr>
        <w:t>Nbre</w:t>
      </w:r>
      <w:proofErr w:type="spellEnd"/>
      <w:r>
        <w:rPr>
          <w:rFonts w:ascii="Calibri" w:eastAsia="Arial" w:hAnsi="Calibri" w:cs="Arial"/>
          <w:b/>
          <w:bCs/>
          <w:color w:val="000000" w:themeColor="text1"/>
          <w:kern w:val="24"/>
          <w:u w:val="single"/>
        </w:rPr>
        <w:t xml:space="preserve"> </w:t>
      </w:r>
      <w:r>
        <w:rPr>
          <w:rFonts w:ascii="Calibri" w:eastAsia="Arial" w:hAnsi="Calibri" w:cs="Arial"/>
          <w:b/>
          <w:bCs/>
          <w:color w:val="000000" w:themeColor="text1"/>
          <w:kern w:val="24"/>
          <w:u w:val="single"/>
        </w:rPr>
        <w:t>visiteurs</w:t>
      </w:r>
      <w:r>
        <w:rPr>
          <w:rFonts w:ascii="Calibri" w:eastAsia="Arial" w:hAnsi="Calibri" w:cs="Arial"/>
          <w:b/>
          <w:bCs/>
          <w:color w:val="000000" w:themeColor="text1"/>
          <w:kern w:val="24"/>
          <w:u w:val="single"/>
        </w:rPr>
        <w:t xml:space="preserve"> </w:t>
      </w:r>
      <w:r>
        <w:rPr>
          <w:rFonts w:ascii="Calibri" w:eastAsia="Arial" w:hAnsi="Calibri" w:cs="Arial"/>
          <w:color w:val="000000" w:themeColor="text1"/>
          <w:kern w:val="24"/>
        </w:rPr>
        <w:t xml:space="preserve">: </w:t>
      </w:r>
      <w:r>
        <w:rPr>
          <w:rFonts w:ascii="Calibri" w:eastAsia="Arial" w:hAnsi="Calibri" w:cs="Arial"/>
          <w:color w:val="000000" w:themeColor="text1"/>
          <w:kern w:val="24"/>
        </w:rPr>
        <w:t>123.500</w:t>
      </w:r>
      <w:r>
        <w:rPr>
          <w:rFonts w:ascii="Calibri" w:eastAsia="Arial" w:hAnsi="Calibri" w:cs="Arial"/>
          <w:color w:val="000000" w:themeColor="text1"/>
          <w:kern w:val="24"/>
        </w:rPr>
        <w:t xml:space="preserve"> dont </w:t>
      </w:r>
      <w:r>
        <w:rPr>
          <w:rFonts w:ascii="Calibri" w:eastAsia="Arial" w:hAnsi="Calibri" w:cs="Arial"/>
          <w:color w:val="000000" w:themeColor="text1"/>
          <w:kern w:val="24"/>
        </w:rPr>
        <w:t>45.695 des allemands et 77.805 des étrangers</w:t>
      </w:r>
    </w:p>
    <w:p w:rsidR="00752CA3" w:rsidRDefault="00752CA3" w:rsidP="00752C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Arial" w:hAnsi="Calibri" w:cs="Arial"/>
          <w:color w:val="000000" w:themeColor="text1"/>
          <w:kern w:val="24"/>
        </w:rPr>
      </w:pPr>
      <w:r>
        <w:rPr>
          <w:rFonts w:ascii="Calibri" w:eastAsia="Arial" w:hAnsi="Calibri" w:cs="Arial"/>
          <w:b/>
          <w:bCs/>
          <w:color w:val="000000" w:themeColor="text1"/>
          <w:kern w:val="24"/>
          <w:u w:val="single"/>
        </w:rPr>
        <w:t>Espace d’</w:t>
      </w:r>
      <w:r w:rsidR="00874C8E">
        <w:rPr>
          <w:rFonts w:ascii="Calibri" w:eastAsia="Arial" w:hAnsi="Calibri" w:cs="Arial"/>
          <w:b/>
          <w:bCs/>
          <w:color w:val="000000" w:themeColor="text1"/>
          <w:kern w:val="24"/>
          <w:u w:val="single"/>
        </w:rPr>
        <w:t>exposition</w:t>
      </w:r>
      <w:r>
        <w:rPr>
          <w:rFonts w:ascii="Calibri" w:eastAsia="Arial" w:hAnsi="Calibri" w:cs="Arial"/>
          <w:b/>
          <w:bCs/>
          <w:color w:val="000000" w:themeColor="text1"/>
          <w:kern w:val="24"/>
          <w:u w:val="single"/>
        </w:rPr>
        <w:t> </w:t>
      </w:r>
      <w:r w:rsidRPr="00752CA3">
        <w:rPr>
          <w:rFonts w:ascii="Calibri" w:eastAsia="Arial" w:hAnsi="Calibri" w:cs="Arial"/>
          <w:color w:val="000000" w:themeColor="text1"/>
          <w:kern w:val="24"/>
        </w:rPr>
        <w:t>:</w:t>
      </w:r>
      <w:r>
        <w:rPr>
          <w:rFonts w:ascii="Calibri" w:eastAsia="Arial" w:hAnsi="Calibri" w:cs="Arial"/>
          <w:color w:val="000000" w:themeColor="text1"/>
          <w:kern w:val="24"/>
        </w:rPr>
        <w:t xml:space="preserve"> 114.381</w:t>
      </w:r>
      <w:r w:rsidR="00874C8E">
        <w:rPr>
          <w:rFonts w:ascii="Calibri" w:eastAsia="Arial" w:hAnsi="Calibri" w:cs="Arial"/>
          <w:color w:val="000000" w:themeColor="text1"/>
          <w:kern w:val="24"/>
        </w:rPr>
        <w:t xml:space="preserve"> m²</w:t>
      </w:r>
    </w:p>
    <w:p w:rsidR="009178C1" w:rsidRDefault="006F503E" w:rsidP="006F503E">
      <w:pPr>
        <w:rPr>
          <w:rFonts w:ascii="Calibri" w:eastAsiaTheme="majorEastAsia" w:hAnsi="Calibri" w:cstheme="majorBidi"/>
          <w:sz w:val="36"/>
          <w:szCs w:val="36"/>
          <w:u w:val="single"/>
        </w:rPr>
      </w:pPr>
      <w:bookmarkStart w:id="0" w:name="_GoBack"/>
      <w:bookmarkEnd w:id="0"/>
      <w:r w:rsidRPr="006F503E">
        <w:rPr>
          <w:sz w:val="40"/>
          <w:szCs w:val="40"/>
        </w:rPr>
        <w:t>2/</w:t>
      </w:r>
      <w:r w:rsidRPr="006F503E">
        <w:rPr>
          <w:rFonts w:ascii="Calibri" w:eastAsiaTheme="majorEastAsia" w:hAnsi="Calibri" w:cstheme="majorBidi"/>
          <w:sz w:val="36"/>
          <w:szCs w:val="36"/>
          <w:u w:val="single"/>
        </w:rPr>
        <w:t>La participation Tunisienne</w:t>
      </w:r>
    </w:p>
    <w:p w:rsidR="00B1180D" w:rsidRPr="00B1180D" w:rsidRDefault="00B1180D" w:rsidP="00B1180D">
      <w:pPr>
        <w:pStyle w:val="NormalWeb"/>
        <w:shd w:val="clear" w:color="auto" w:fill="FFFFFF"/>
        <w:spacing w:before="240" w:beforeAutospacing="0" w:after="240" w:afterAutospacing="0"/>
        <w:ind w:firstLine="709"/>
        <w:jc w:val="both"/>
        <w:rPr>
          <w:rFonts w:ascii="Cambria" w:hAnsi="Cambria" w:cs="Traditional Arabic"/>
        </w:rPr>
      </w:pPr>
      <w:r w:rsidRPr="00B1180D">
        <w:rPr>
          <w:rFonts w:ascii="Cambria" w:hAnsi="Cambria" w:cs="Traditional Arabic"/>
        </w:rPr>
        <w:t xml:space="preserve">La Tunisie a participé au </w:t>
      </w:r>
      <w:r w:rsidRPr="00B1180D">
        <w:rPr>
          <w:rFonts w:ascii="Cambria" w:hAnsi="Cambria" w:cs="Traditional Arabic"/>
          <w:color w:val="000000"/>
        </w:rPr>
        <w:t xml:space="preserve">salon international de la médecine </w:t>
      </w:r>
      <w:r w:rsidRPr="00B1180D">
        <w:rPr>
          <w:rFonts w:ascii="Cambria" w:hAnsi="Cambria" w:cs="Traditional Arabic"/>
        </w:rPr>
        <w:t>avec un pavillon national d’une superficie de 84m² regroupant 7 entreprises tunisiennes qui opèrent dans le secteur du consommable médicale et paramédical.</w:t>
      </w:r>
    </w:p>
    <w:tbl>
      <w:tblPr>
        <w:tblW w:w="9923" w:type="dxa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60"/>
        <w:gridCol w:w="7163"/>
      </w:tblGrid>
      <w:tr w:rsidR="00B1180D" w:rsidRPr="00A11DE1" w:rsidTr="00B1180D">
        <w:trPr>
          <w:trHeight w:val="465"/>
        </w:trPr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180D" w:rsidRPr="00A11DE1" w:rsidRDefault="00B1180D" w:rsidP="00A11D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cs="Traditional Arabic"/>
              </w:rPr>
              <w:t xml:space="preserve"> </w:t>
            </w:r>
            <w:r w:rsidRPr="00A11DE1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8"/>
                <w:szCs w:val="28"/>
              </w:rPr>
              <w:t>Raison Sociale</w:t>
            </w:r>
          </w:p>
        </w:tc>
        <w:tc>
          <w:tcPr>
            <w:tcW w:w="71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180D" w:rsidRPr="00A11DE1" w:rsidRDefault="00B1180D" w:rsidP="00A11D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11DE1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8"/>
                <w:szCs w:val="28"/>
              </w:rPr>
              <w:t>Activité</w:t>
            </w:r>
          </w:p>
        </w:tc>
      </w:tr>
      <w:tr w:rsidR="00B1180D" w:rsidRPr="00A11DE1" w:rsidTr="00B1180D">
        <w:trPr>
          <w:trHeight w:val="380"/>
        </w:trPr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180D" w:rsidRPr="00B1180D" w:rsidRDefault="00B1180D" w:rsidP="00B11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180D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BIOSERVICE</w:t>
            </w:r>
          </w:p>
        </w:tc>
        <w:tc>
          <w:tcPr>
            <w:tcW w:w="71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180D" w:rsidRPr="00B1180D" w:rsidRDefault="00B1180D" w:rsidP="00B1180D">
            <w:pP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TN"/>
              </w:rPr>
            </w:pPr>
            <w:r w:rsidRPr="00B1180D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TN"/>
              </w:rPr>
              <w:t>Dispositifs médicaux</w:t>
            </w:r>
            <w:r w:rsidRPr="00B1180D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TN"/>
              </w:rPr>
              <w:t xml:space="preserve"> à usage unique</w:t>
            </w:r>
          </w:p>
        </w:tc>
      </w:tr>
      <w:tr w:rsidR="00B1180D" w:rsidRPr="00752CA3" w:rsidTr="00B1180D">
        <w:trPr>
          <w:trHeight w:val="542"/>
        </w:trPr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180D" w:rsidRPr="00B1180D" w:rsidRDefault="00B1180D" w:rsidP="00B11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180D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BIOSPHERE</w:t>
            </w:r>
          </w:p>
        </w:tc>
        <w:tc>
          <w:tcPr>
            <w:tcW w:w="7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180D" w:rsidRPr="00B1180D" w:rsidRDefault="00B1180D" w:rsidP="00A11D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1180D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TN"/>
              </w:rPr>
              <w:t>Consommables de laboratoires </w:t>
            </w:r>
          </w:p>
        </w:tc>
      </w:tr>
      <w:tr w:rsidR="00B1180D" w:rsidRPr="00A11DE1" w:rsidTr="00B1180D">
        <w:trPr>
          <w:trHeight w:val="465"/>
        </w:trPr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180D" w:rsidRPr="00B1180D" w:rsidRDefault="00B1180D" w:rsidP="00B11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180D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SOFAP</w:t>
            </w:r>
          </w:p>
        </w:tc>
        <w:tc>
          <w:tcPr>
            <w:tcW w:w="7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180D" w:rsidRPr="00B1180D" w:rsidRDefault="00B1180D" w:rsidP="00A11D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180D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TN"/>
              </w:rPr>
              <w:t>Dispositifs médicaux </w:t>
            </w:r>
          </w:p>
        </w:tc>
      </w:tr>
      <w:tr w:rsidR="00B1180D" w:rsidRPr="00A11DE1" w:rsidTr="00B1180D">
        <w:trPr>
          <w:trHeight w:val="62"/>
        </w:trPr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180D" w:rsidRPr="00B1180D" w:rsidRDefault="00B1180D" w:rsidP="00B11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180D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CONSOMED</w:t>
            </w:r>
          </w:p>
        </w:tc>
        <w:tc>
          <w:tcPr>
            <w:tcW w:w="7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180D" w:rsidRPr="00B1180D" w:rsidRDefault="00B1180D" w:rsidP="00A11D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180D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TN"/>
              </w:rPr>
              <w:t>Dispositifs médicaux stérile ou non stérile à usage unique à base de tissu non tiss</w:t>
            </w:r>
            <w:r w:rsidRPr="00B1180D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TN"/>
              </w:rPr>
              <w:t>u</w:t>
            </w:r>
          </w:p>
        </w:tc>
      </w:tr>
      <w:tr w:rsidR="00B1180D" w:rsidRPr="00A11DE1" w:rsidTr="00B1180D">
        <w:trPr>
          <w:trHeight w:val="538"/>
        </w:trPr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180D" w:rsidRPr="00B1180D" w:rsidRDefault="00B1180D" w:rsidP="00B11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180D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PECMI</w:t>
            </w:r>
          </w:p>
        </w:tc>
        <w:tc>
          <w:tcPr>
            <w:tcW w:w="7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180D" w:rsidRPr="00B1180D" w:rsidRDefault="00B1180D" w:rsidP="00B1180D">
            <w:pP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TN"/>
              </w:rPr>
            </w:pPr>
            <w:r w:rsidRPr="00B1180D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TN"/>
              </w:rPr>
              <w:t>Spiromètre, chambres d'inhalation, endoscopie, prothès</w:t>
            </w:r>
            <w:r w:rsidRPr="00B1180D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TN"/>
              </w:rPr>
              <w:t>e</w:t>
            </w:r>
            <w: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TN"/>
              </w:rPr>
              <w:t>…</w:t>
            </w:r>
            <w:proofErr w:type="gramStart"/>
            <w: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TN"/>
              </w:rPr>
              <w:t>..</w:t>
            </w:r>
            <w:proofErr w:type="gramEnd"/>
          </w:p>
        </w:tc>
      </w:tr>
      <w:tr w:rsidR="00B1180D" w:rsidRPr="00A11DE1" w:rsidTr="00B1180D">
        <w:trPr>
          <w:trHeight w:val="392"/>
        </w:trPr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180D" w:rsidRPr="00B1180D" w:rsidRDefault="00B1180D" w:rsidP="00B118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  <w:r w:rsidRPr="00B1180D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MEDICA SUD</w:t>
            </w:r>
          </w:p>
        </w:tc>
        <w:tc>
          <w:tcPr>
            <w:tcW w:w="7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180D" w:rsidRPr="00B1180D" w:rsidRDefault="00B1180D" w:rsidP="00A11DE1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</w:pPr>
            <w:r w:rsidRPr="00B1180D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TN"/>
              </w:rPr>
              <w:t>Dispositifs médicaux stérile ou non stérile à usage unique à base de tissu non tissu</w:t>
            </w:r>
          </w:p>
        </w:tc>
      </w:tr>
      <w:tr w:rsidR="00B1180D" w:rsidRPr="00A11DE1" w:rsidTr="00B1180D">
        <w:trPr>
          <w:trHeight w:val="760"/>
        </w:trPr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180D" w:rsidRDefault="00B1180D" w:rsidP="00B118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8"/>
                <w:szCs w:val="28"/>
              </w:rPr>
              <w:t>AMEL</w:t>
            </w:r>
          </w:p>
        </w:tc>
        <w:tc>
          <w:tcPr>
            <w:tcW w:w="7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180D" w:rsidRPr="00B1180D" w:rsidRDefault="00B1180D" w:rsidP="00A11DE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  <w:r w:rsidRPr="00B1180D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Equipements </w:t>
            </w:r>
            <w:proofErr w:type="spellStart"/>
            <w:r w:rsidRPr="00B1180D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hopitaux</w:t>
            </w:r>
            <w:proofErr w:type="spellEnd"/>
          </w:p>
        </w:tc>
      </w:tr>
    </w:tbl>
    <w:p w:rsidR="007344A1" w:rsidRPr="006F503E" w:rsidRDefault="007344A1" w:rsidP="007344A1">
      <w:pPr>
        <w:rPr>
          <w:sz w:val="40"/>
          <w:szCs w:val="40"/>
        </w:rPr>
      </w:pPr>
    </w:p>
    <w:sectPr w:rsidR="007344A1" w:rsidRPr="006F5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53985"/>
    <w:multiLevelType w:val="hybridMultilevel"/>
    <w:tmpl w:val="A172423E"/>
    <w:lvl w:ilvl="0" w:tplc="A4A01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3282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5A4B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4020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8CB0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425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2A98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4424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2D9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C1"/>
    <w:rsid w:val="003F4B5E"/>
    <w:rsid w:val="004F0A28"/>
    <w:rsid w:val="006F503E"/>
    <w:rsid w:val="007344A1"/>
    <w:rsid w:val="00752CA3"/>
    <w:rsid w:val="00874C8E"/>
    <w:rsid w:val="009178C1"/>
    <w:rsid w:val="00A11DE1"/>
    <w:rsid w:val="00B1180D"/>
    <w:rsid w:val="00D97830"/>
    <w:rsid w:val="00F5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980A2-9D1C-4F25-8608-C4980E38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78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180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80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5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949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Noamene HAMDANI</dc:creator>
  <cp:keywords/>
  <dc:description/>
  <cp:lastModifiedBy>Noamene HAMDANI</cp:lastModifiedBy>
  <cp:revision>11</cp:revision>
  <dcterms:created xsi:type="dcterms:W3CDTF">2018-09-12T07:36:00Z</dcterms:created>
  <dcterms:modified xsi:type="dcterms:W3CDTF">2018-09-17T09:14:00Z</dcterms:modified>
</cp:coreProperties>
</file>