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DC" w:rsidRDefault="00F01364" w:rsidP="00B00567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  <w:lang w:val="fr-FR"/>
        </w:rPr>
      </w:pPr>
      <w:r w:rsidRPr="00F01364"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1" o:spid="_x0000_s1026" type="#_x0000_t202" style="position:absolute;margin-left:304.65pt;margin-top:-52.35pt;width:182.7pt;height:24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" filled="f" stroked="f" strokeweight=".5pt">
            <v:textbox>
              <w:txbxContent>
                <w:p w:rsidR="002A7B93" w:rsidRDefault="002A7B93" w:rsidP="00D86DFD">
                  <w:pPr>
                    <w:spacing w:after="0" w:line="240" w:lineRule="auto"/>
                    <w:ind w:left="142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  <w:lang w:val="fr-FR"/>
                    </w:rPr>
                  </w:pPr>
                  <w:r w:rsidRPr="005E0843"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595582" cy="1406631"/>
                        <wp:effectExtent l="19050" t="0" r="4618" b="0"/>
                        <wp:docPr id="4" name="Grafik 17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BAB059E-4CBF-4630-BAD6-4BB9415A9CB8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Grafik 17">
                                  <a:extLst>
                                    <a:ext uri="{FF2B5EF4-FFF2-40B4-BE49-F238E27FC236}">
      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BAB059E-4CBF-4630-BAD6-4BB9415A9CB8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5582" cy="14066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A7B93" w:rsidRDefault="002A7B93" w:rsidP="00D86DFD">
                  <w:pPr>
                    <w:spacing w:after="0" w:line="240" w:lineRule="auto"/>
                    <w:ind w:left="142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  <w:lang w:val="fr-FR"/>
                    </w:rPr>
                  </w:pPr>
                </w:p>
                <w:p w:rsidR="002A7B93" w:rsidRPr="0047529C" w:rsidRDefault="002A7B93" w:rsidP="00D86DFD">
                  <w:pPr>
                    <w:spacing w:after="0" w:line="240" w:lineRule="auto"/>
                    <w:ind w:left="142"/>
                    <w:rPr>
                      <w:rFonts w:cstheme="minorHAnsi"/>
                      <w:b/>
                      <w:bCs/>
                      <w:sz w:val="18"/>
                      <w:szCs w:val="18"/>
                      <w:lang w:val="fr-FR"/>
                    </w:rPr>
                  </w:pPr>
                  <w:r w:rsidRPr="0047529C">
                    <w:rPr>
                      <w:rFonts w:cstheme="minorHAnsi"/>
                      <w:b/>
                      <w:bCs/>
                      <w:sz w:val="18"/>
                      <w:szCs w:val="18"/>
                      <w:lang w:val="fr-FR"/>
                    </w:rPr>
                    <w:t>Représentation Commerciale  Tunisienne</w:t>
                  </w:r>
                </w:p>
                <w:p w:rsidR="002A7B93" w:rsidRPr="0047529C" w:rsidRDefault="002A7B93" w:rsidP="00D86DFD">
                  <w:pPr>
                    <w:spacing w:after="0" w:line="240" w:lineRule="auto"/>
                    <w:ind w:left="142"/>
                    <w:rPr>
                      <w:rFonts w:cstheme="minorHAnsi"/>
                      <w:b/>
                      <w:bCs/>
                      <w:sz w:val="18"/>
                      <w:szCs w:val="18"/>
                      <w:lang w:val="fr-FR"/>
                    </w:rPr>
                  </w:pPr>
                  <w:r w:rsidRPr="0047529C">
                    <w:rPr>
                      <w:rFonts w:cstheme="minorHAnsi"/>
                      <w:b/>
                      <w:bCs/>
                      <w:sz w:val="18"/>
                      <w:szCs w:val="18"/>
                      <w:lang w:val="fr-FR"/>
                    </w:rPr>
                    <w:t>Cote d’ivoire</w:t>
                  </w:r>
                </w:p>
                <w:p w:rsidR="002A7B93" w:rsidRPr="0047529C" w:rsidRDefault="002A7B93" w:rsidP="00D86DFD">
                  <w:pPr>
                    <w:spacing w:after="0" w:line="240" w:lineRule="auto"/>
                    <w:ind w:left="142"/>
                    <w:rPr>
                      <w:rFonts w:cstheme="minorHAnsi"/>
                      <w:b/>
                      <w:bCs/>
                      <w:sz w:val="18"/>
                      <w:szCs w:val="18"/>
                      <w:lang w:val="fr-FR"/>
                    </w:rPr>
                  </w:pPr>
                  <w:r w:rsidRPr="0047529C">
                    <w:rPr>
                      <w:rFonts w:cstheme="minorHAnsi"/>
                      <w:b/>
                      <w:bCs/>
                      <w:sz w:val="18"/>
                      <w:szCs w:val="18"/>
                      <w:lang w:val="fr-FR"/>
                    </w:rPr>
                    <w:t>HAMDANI Noamen / Chef du Bureau</w:t>
                  </w:r>
                </w:p>
                <w:p w:rsidR="002A7B93" w:rsidRDefault="002A7B93" w:rsidP="00D86DFD">
                  <w:pPr>
                    <w:spacing w:after="0" w:line="240" w:lineRule="auto"/>
                    <w:ind w:left="142"/>
                    <w:rPr>
                      <w:rFonts w:cstheme="minorHAnsi"/>
                      <w:sz w:val="18"/>
                      <w:szCs w:val="18"/>
                      <w:lang w:val="fr-FR"/>
                    </w:rPr>
                  </w:pPr>
                  <w:r w:rsidRPr="0047529C">
                    <w:rPr>
                      <w:rFonts w:cstheme="minorHAnsi"/>
                      <w:sz w:val="18"/>
                      <w:szCs w:val="18"/>
                      <w:lang w:val="fr-FR"/>
                    </w:rPr>
                    <w:t>Immeuble NABIL / 2eme étage / App. 202 N</w:t>
                  </w:r>
                </w:p>
                <w:p w:rsidR="002A7B93" w:rsidRPr="0047529C" w:rsidRDefault="002A7B93" w:rsidP="00D86DFD">
                  <w:pPr>
                    <w:spacing w:after="0" w:line="240" w:lineRule="auto"/>
                    <w:ind w:left="142"/>
                    <w:rPr>
                      <w:rFonts w:cstheme="minorHAnsi"/>
                      <w:sz w:val="18"/>
                      <w:szCs w:val="18"/>
                      <w:lang w:val="fr-FR"/>
                    </w:rPr>
                  </w:pPr>
                  <w:r w:rsidRPr="0047529C">
                    <w:rPr>
                      <w:rFonts w:cstheme="minorHAnsi"/>
                      <w:sz w:val="18"/>
                      <w:szCs w:val="18"/>
                      <w:lang w:val="fr-FR"/>
                    </w:rPr>
                    <w:t xml:space="preserve">Abidjan </w:t>
                  </w:r>
                  <w:r>
                    <w:rPr>
                      <w:rFonts w:cstheme="minorHAnsi"/>
                      <w:sz w:val="18"/>
                      <w:szCs w:val="18"/>
                      <w:lang w:val="fr-FR"/>
                    </w:rPr>
                    <w:t>–</w:t>
                  </w:r>
                  <w:r w:rsidRPr="0047529C">
                    <w:rPr>
                      <w:rFonts w:cstheme="minorHAnsi"/>
                      <w:sz w:val="18"/>
                      <w:szCs w:val="18"/>
                      <w:lang w:val="fr-FR"/>
                    </w:rPr>
                    <w:t xml:space="preserve"> Plateau</w:t>
                  </w:r>
                  <w:r>
                    <w:rPr>
                      <w:rFonts w:cstheme="minorHAnsi"/>
                      <w:sz w:val="18"/>
                      <w:szCs w:val="18"/>
                      <w:lang w:val="fr-FR"/>
                    </w:rPr>
                    <w:t xml:space="preserve">, </w:t>
                  </w:r>
                  <w:r w:rsidRPr="0047529C">
                    <w:rPr>
                      <w:rFonts w:cstheme="minorHAnsi"/>
                      <w:sz w:val="18"/>
                      <w:szCs w:val="18"/>
                      <w:lang w:val="fr-FR"/>
                    </w:rPr>
                    <w:t>Côte d'Ivoire</w:t>
                  </w:r>
                </w:p>
                <w:p w:rsidR="002A7B93" w:rsidRPr="001B1521" w:rsidRDefault="002A7B93" w:rsidP="00387B61">
                  <w:pPr>
                    <w:spacing w:after="0" w:line="240" w:lineRule="auto"/>
                    <w:ind w:left="142"/>
                    <w:rPr>
                      <w:rFonts w:cstheme="minorHAnsi"/>
                      <w:sz w:val="18"/>
                      <w:szCs w:val="18"/>
                      <w:lang w:val="fr-FR"/>
                    </w:rPr>
                  </w:pPr>
                  <w:r w:rsidRPr="001B1521">
                    <w:rPr>
                      <w:rFonts w:cstheme="minorHAnsi"/>
                      <w:sz w:val="18"/>
                      <w:szCs w:val="18"/>
                      <w:lang w:val="fr-FR"/>
                    </w:rPr>
                    <w:t xml:space="preserve">T:  +225 </w:t>
                  </w:r>
                  <w:r w:rsidR="00387B61">
                    <w:rPr>
                      <w:rFonts w:cstheme="minorHAnsi"/>
                      <w:sz w:val="18"/>
                      <w:szCs w:val="18"/>
                      <w:lang w:val="fr-FR"/>
                    </w:rPr>
                    <w:t>20</w:t>
                  </w:r>
                  <w:r w:rsidRPr="001B1521">
                    <w:rPr>
                      <w:rFonts w:cstheme="minorHAnsi"/>
                      <w:sz w:val="18"/>
                      <w:szCs w:val="18"/>
                      <w:lang w:val="fr-FR"/>
                    </w:rPr>
                    <w:t xml:space="preserve"> </w:t>
                  </w:r>
                  <w:r w:rsidR="00387B61">
                    <w:rPr>
                      <w:rFonts w:cstheme="minorHAnsi"/>
                      <w:sz w:val="18"/>
                      <w:szCs w:val="18"/>
                      <w:lang w:val="fr-FR"/>
                    </w:rPr>
                    <w:t>22</w:t>
                  </w:r>
                  <w:r w:rsidRPr="001B1521">
                    <w:rPr>
                      <w:rFonts w:cstheme="minorHAnsi"/>
                      <w:sz w:val="18"/>
                      <w:szCs w:val="18"/>
                      <w:lang w:val="fr-FR"/>
                    </w:rPr>
                    <w:t xml:space="preserve"> </w:t>
                  </w:r>
                  <w:r w:rsidR="00387B61">
                    <w:rPr>
                      <w:rFonts w:cstheme="minorHAnsi"/>
                      <w:sz w:val="18"/>
                      <w:szCs w:val="18"/>
                      <w:lang w:val="fr-FR"/>
                    </w:rPr>
                    <w:t>1</w:t>
                  </w:r>
                  <w:r w:rsidRPr="001B1521">
                    <w:rPr>
                      <w:rFonts w:cstheme="minorHAnsi"/>
                      <w:sz w:val="18"/>
                      <w:szCs w:val="18"/>
                      <w:lang w:val="fr-FR"/>
                    </w:rPr>
                    <w:t>9 1</w:t>
                  </w:r>
                  <w:r w:rsidR="00387B61">
                    <w:rPr>
                      <w:rFonts w:cstheme="minorHAnsi"/>
                      <w:sz w:val="18"/>
                      <w:szCs w:val="18"/>
                      <w:lang w:val="fr-FR"/>
                    </w:rPr>
                    <w:t>8</w:t>
                  </w:r>
                </w:p>
                <w:p w:rsidR="002A7B93" w:rsidRPr="0047529C" w:rsidRDefault="002A7B93" w:rsidP="00D86DFD">
                  <w:pPr>
                    <w:spacing w:after="0" w:line="240" w:lineRule="auto"/>
                    <w:ind w:left="142"/>
                    <w:rPr>
                      <w:rFonts w:cstheme="minorHAnsi"/>
                      <w:sz w:val="18"/>
                      <w:szCs w:val="18"/>
                      <w:lang w:val="de-DE"/>
                    </w:rPr>
                  </w:pPr>
                  <w:r w:rsidRPr="0047529C">
                    <w:rPr>
                      <w:rFonts w:cstheme="minorHAnsi"/>
                      <w:sz w:val="18"/>
                      <w:szCs w:val="18"/>
                      <w:lang w:val="de-DE"/>
                    </w:rPr>
                    <w:t>M: +225 02 981 984</w:t>
                  </w:r>
                </w:p>
                <w:p w:rsidR="002A7B93" w:rsidRPr="0047529C" w:rsidRDefault="002A7B93" w:rsidP="00D86DFD">
                  <w:pPr>
                    <w:spacing w:after="0" w:line="240" w:lineRule="auto"/>
                    <w:ind w:left="142"/>
                    <w:rPr>
                      <w:rFonts w:cstheme="minorHAnsi"/>
                      <w:sz w:val="18"/>
                      <w:szCs w:val="18"/>
                      <w:lang w:val="de-DE"/>
                    </w:rPr>
                  </w:pPr>
                  <w:r w:rsidRPr="0047529C">
                    <w:rPr>
                      <w:rFonts w:cstheme="minorHAnsi"/>
                      <w:sz w:val="18"/>
                      <w:szCs w:val="18"/>
                      <w:lang w:val="de-DE"/>
                    </w:rPr>
                    <w:t xml:space="preserve">E: </w:t>
                  </w:r>
                  <w:hyperlink r:id="rId9" w:history="1">
                    <w:r w:rsidRPr="0047529C">
                      <w:rPr>
                        <w:rStyle w:val="Lienhypertexte"/>
                        <w:rFonts w:cstheme="minorHAnsi"/>
                        <w:color w:val="auto"/>
                        <w:sz w:val="18"/>
                        <w:szCs w:val="18"/>
                        <w:u w:val="none"/>
                        <w:lang w:val="de-DE"/>
                      </w:rPr>
                      <w:t>tunisiaexport.abidjan@aviso.ci</w:t>
                    </w:r>
                  </w:hyperlink>
                </w:p>
              </w:txbxContent>
            </v:textbox>
          </v:shape>
        </w:pict>
      </w:r>
    </w:p>
    <w:p w:rsidR="006063DC" w:rsidRPr="0047529C" w:rsidRDefault="005E0843" w:rsidP="00B00567">
      <w:pPr>
        <w:spacing w:after="0" w:line="240" w:lineRule="auto"/>
        <w:rPr>
          <w:rFonts w:cstheme="minorHAnsi"/>
          <w:b/>
          <w:bCs/>
          <w:color w:val="CA043D"/>
          <w:sz w:val="40"/>
          <w:szCs w:val="40"/>
          <w:lang w:val="fr-FR"/>
        </w:rPr>
      </w:pPr>
      <w:r w:rsidRPr="0047529C">
        <w:rPr>
          <w:rFonts w:cstheme="minorHAnsi"/>
          <w:b/>
          <w:bCs/>
          <w:color w:val="CA043D"/>
          <w:sz w:val="40"/>
          <w:szCs w:val="40"/>
          <w:lang w:val="fr-FR"/>
        </w:rPr>
        <w:t xml:space="preserve">MARKET SNAPSHOT REPORT </w:t>
      </w:r>
    </w:p>
    <w:p w:rsidR="006063DC" w:rsidRPr="0047529C" w:rsidRDefault="005E0843" w:rsidP="00BD0690">
      <w:pPr>
        <w:tabs>
          <w:tab w:val="left" w:pos="993"/>
        </w:tabs>
        <w:spacing w:after="0" w:line="240" w:lineRule="auto"/>
        <w:rPr>
          <w:rFonts w:cstheme="minorHAnsi"/>
          <w:b/>
          <w:bCs/>
          <w:sz w:val="36"/>
          <w:szCs w:val="36"/>
          <w:lang w:val="fr-FR"/>
        </w:rPr>
      </w:pPr>
      <w:r w:rsidRPr="0047529C">
        <w:rPr>
          <w:rFonts w:cstheme="minorHAnsi"/>
          <w:b/>
          <w:bCs/>
          <w:sz w:val="36"/>
          <w:szCs w:val="36"/>
          <w:lang w:val="fr-FR"/>
        </w:rPr>
        <w:t>De :</w:t>
      </w:r>
      <w:r w:rsidR="001767DB">
        <w:rPr>
          <w:rFonts w:cstheme="minorHAnsi"/>
          <w:b/>
          <w:bCs/>
          <w:sz w:val="36"/>
          <w:szCs w:val="36"/>
          <w:lang w:val="fr-FR"/>
        </w:rPr>
        <w:t xml:space="preserve"> </w:t>
      </w:r>
      <w:r w:rsidRPr="0047529C">
        <w:rPr>
          <w:rFonts w:cstheme="minorHAnsi"/>
          <w:b/>
          <w:bCs/>
          <w:sz w:val="36"/>
          <w:szCs w:val="36"/>
          <w:lang w:val="fr-FR"/>
        </w:rPr>
        <w:t>Abidjan /C</w:t>
      </w:r>
      <w:r w:rsidR="00BD0690" w:rsidRPr="00BD0690">
        <w:rPr>
          <w:rFonts w:cs="Arial"/>
          <w:b/>
          <w:sz w:val="36"/>
          <w:szCs w:val="36"/>
          <w:shd w:val="clear" w:color="auto" w:fill="FFFFFF"/>
        </w:rPr>
        <w:t>ô</w:t>
      </w:r>
      <w:r w:rsidRPr="0047529C">
        <w:rPr>
          <w:rFonts w:cstheme="minorHAnsi"/>
          <w:b/>
          <w:bCs/>
          <w:sz w:val="36"/>
          <w:szCs w:val="36"/>
          <w:lang w:val="fr-FR"/>
        </w:rPr>
        <w:t>te d’ivoire</w:t>
      </w:r>
    </w:p>
    <w:p w:rsidR="006063DC" w:rsidRPr="0047529C" w:rsidRDefault="005E0843" w:rsidP="007F458B">
      <w:pPr>
        <w:spacing w:after="0" w:line="240" w:lineRule="auto"/>
        <w:rPr>
          <w:rFonts w:cstheme="minorHAnsi"/>
          <w:b/>
          <w:bCs/>
          <w:sz w:val="36"/>
          <w:szCs w:val="36"/>
          <w:u w:val="single"/>
          <w:lang w:val="fr-FR"/>
        </w:rPr>
      </w:pPr>
      <w:r w:rsidRPr="0047529C">
        <w:rPr>
          <w:rFonts w:cstheme="minorHAnsi"/>
          <w:b/>
          <w:bCs/>
          <w:sz w:val="36"/>
          <w:szCs w:val="36"/>
          <w:lang w:val="fr-FR"/>
        </w:rPr>
        <w:t xml:space="preserve">Date : </w:t>
      </w:r>
      <w:r w:rsidR="000F34F5">
        <w:rPr>
          <w:rFonts w:cstheme="minorHAnsi"/>
          <w:b/>
          <w:bCs/>
          <w:sz w:val="36"/>
          <w:szCs w:val="36"/>
          <w:lang w:val="fr-FR"/>
        </w:rPr>
        <w:t>15jui</w:t>
      </w:r>
      <w:r w:rsidR="007F458B">
        <w:rPr>
          <w:rFonts w:cstheme="minorHAnsi"/>
          <w:b/>
          <w:bCs/>
          <w:sz w:val="36"/>
          <w:szCs w:val="36"/>
          <w:lang w:val="fr-FR"/>
        </w:rPr>
        <w:t>llet</w:t>
      </w:r>
      <w:r w:rsidRPr="0047529C">
        <w:rPr>
          <w:rFonts w:cstheme="minorHAnsi"/>
          <w:b/>
          <w:bCs/>
          <w:sz w:val="36"/>
          <w:szCs w:val="36"/>
          <w:lang w:val="fr-FR"/>
        </w:rPr>
        <w:t xml:space="preserve"> 2020</w:t>
      </w:r>
    </w:p>
    <w:p w:rsidR="006063DC" w:rsidRDefault="006063DC" w:rsidP="00B00567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  <w:lang w:val="fr-FR"/>
        </w:rPr>
      </w:pPr>
    </w:p>
    <w:p w:rsidR="00D86DFD" w:rsidRDefault="00D86DFD" w:rsidP="00B00567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  <w:lang w:val="fr-FR"/>
        </w:rPr>
      </w:pPr>
    </w:p>
    <w:p w:rsidR="00D86DFD" w:rsidRDefault="00D86DFD" w:rsidP="00B00567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  <w:lang w:val="fr-FR"/>
        </w:rPr>
      </w:pPr>
    </w:p>
    <w:p w:rsidR="00D86DFD" w:rsidRDefault="00D86DFD" w:rsidP="00B00567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u w:val="single"/>
          <w:lang w:val="fr-FR"/>
        </w:rPr>
      </w:pPr>
    </w:p>
    <w:p w:rsidR="00B00567" w:rsidRDefault="00B00567" w:rsidP="00B00567">
      <w:pPr>
        <w:spacing w:after="0" w:line="240" w:lineRule="auto"/>
        <w:rPr>
          <w:rFonts w:asciiTheme="majorHAnsi" w:hAnsiTheme="majorHAnsi"/>
          <w:b/>
          <w:bCs/>
          <w:color w:val="C00000"/>
          <w:sz w:val="32"/>
          <w:szCs w:val="32"/>
          <w:u w:val="single"/>
          <w:lang w:val="fr-FR"/>
        </w:rPr>
      </w:pPr>
    </w:p>
    <w:p w:rsidR="00B00567" w:rsidRDefault="00B00567" w:rsidP="00B00567">
      <w:pPr>
        <w:spacing w:after="0" w:line="240" w:lineRule="auto"/>
        <w:rPr>
          <w:rFonts w:asciiTheme="majorHAnsi" w:hAnsiTheme="majorHAnsi"/>
          <w:b/>
          <w:bCs/>
          <w:color w:val="C00000"/>
          <w:sz w:val="32"/>
          <w:szCs w:val="32"/>
          <w:u w:val="single"/>
          <w:lang w:val="fr-FR"/>
        </w:rPr>
      </w:pPr>
    </w:p>
    <w:p w:rsidR="006063DC" w:rsidRPr="00B37CAD" w:rsidRDefault="00CA70D9" w:rsidP="007F458B">
      <w:pPr>
        <w:spacing w:after="0" w:line="240" w:lineRule="auto"/>
        <w:rPr>
          <w:rFonts w:cstheme="minorHAnsi"/>
          <w:b/>
          <w:sz w:val="24"/>
          <w:szCs w:val="24"/>
          <w:u w:val="single"/>
          <w:lang w:val="fr-FR"/>
        </w:rPr>
      </w:pPr>
      <w:r w:rsidRPr="00B37CAD">
        <w:rPr>
          <w:rFonts w:cstheme="minorHAnsi"/>
          <w:b/>
          <w:bCs/>
          <w:sz w:val="24"/>
          <w:szCs w:val="24"/>
          <w:u w:val="single"/>
          <w:lang w:val="fr-FR"/>
        </w:rPr>
        <w:t xml:space="preserve">Opportunité </w:t>
      </w:r>
      <w:r w:rsidR="0092028F" w:rsidRPr="00B37CAD">
        <w:rPr>
          <w:rFonts w:cstheme="minorHAnsi"/>
          <w:b/>
          <w:bCs/>
          <w:sz w:val="24"/>
          <w:szCs w:val="24"/>
          <w:u w:val="single"/>
          <w:lang w:val="fr-FR"/>
        </w:rPr>
        <w:t>d’export</w:t>
      </w:r>
      <w:r w:rsidR="00B20411" w:rsidRPr="00B37CAD">
        <w:rPr>
          <w:rFonts w:cstheme="minorHAnsi"/>
          <w:b/>
          <w:bCs/>
          <w:sz w:val="24"/>
          <w:szCs w:val="24"/>
          <w:u w:val="single"/>
          <w:lang w:val="fr-FR"/>
        </w:rPr>
        <w:t>ation</w:t>
      </w:r>
      <w:r w:rsidRPr="00B37CAD">
        <w:rPr>
          <w:rFonts w:cstheme="minorHAnsi"/>
          <w:b/>
          <w:sz w:val="24"/>
          <w:szCs w:val="24"/>
          <w:lang w:val="en-GB"/>
        </w:rPr>
        <w:sym w:font="Wingdings" w:char="F0E8"/>
      </w:r>
      <w:r w:rsidR="007F458B">
        <w:rPr>
          <w:rFonts w:cstheme="minorHAnsi"/>
          <w:b/>
          <w:sz w:val="24"/>
          <w:szCs w:val="24"/>
          <w:u w:val="single"/>
          <w:lang w:val="fr-FR"/>
        </w:rPr>
        <w:t>Secteur santé</w:t>
      </w:r>
    </w:p>
    <w:p w:rsidR="00B00567" w:rsidRPr="00B37CAD" w:rsidRDefault="00B00567" w:rsidP="00B00567">
      <w:pPr>
        <w:spacing w:after="0" w:line="240" w:lineRule="auto"/>
        <w:rPr>
          <w:rFonts w:cstheme="minorHAnsi"/>
          <w:b/>
          <w:bCs/>
          <w:color w:val="C00000"/>
          <w:sz w:val="24"/>
          <w:szCs w:val="24"/>
          <w:u w:val="single"/>
          <w:lang w:val="fr-FR"/>
        </w:rPr>
      </w:pPr>
    </w:p>
    <w:p w:rsidR="008079F5" w:rsidRPr="0066072B" w:rsidRDefault="007F458B" w:rsidP="00B00567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66072B">
        <w:rPr>
          <w:b/>
          <w:bCs/>
          <w:sz w:val="28"/>
          <w:szCs w:val="28"/>
          <w:u w:val="single"/>
        </w:rPr>
        <w:t>1/Présentation du secteur pharmaceutique ivoirien</w:t>
      </w:r>
    </w:p>
    <w:p w:rsidR="007F458B" w:rsidRPr="00CB7310" w:rsidRDefault="007F458B" w:rsidP="00CB7310">
      <w:pPr>
        <w:spacing w:after="0" w:line="240" w:lineRule="auto"/>
        <w:jc w:val="both"/>
        <w:rPr>
          <w:sz w:val="24"/>
          <w:szCs w:val="24"/>
          <w:u w:val="single"/>
        </w:rPr>
      </w:pPr>
      <w:r w:rsidRPr="00191A3E">
        <w:rPr>
          <w:sz w:val="24"/>
          <w:szCs w:val="24"/>
        </w:rPr>
        <w:t>Le marché pharmaceutique ivoirien</w:t>
      </w:r>
      <w:r w:rsidR="00BA0A8A">
        <w:rPr>
          <w:sz w:val="24"/>
          <w:szCs w:val="24"/>
        </w:rPr>
        <w:t>,</w:t>
      </w:r>
      <w:r w:rsidRPr="00191A3E">
        <w:rPr>
          <w:sz w:val="24"/>
          <w:szCs w:val="24"/>
        </w:rPr>
        <w:t xml:space="preserve"> qui représente </w:t>
      </w:r>
      <w:r w:rsidRPr="00191A3E">
        <w:rPr>
          <w:w w:val="95"/>
          <w:sz w:val="24"/>
          <w:szCs w:val="24"/>
        </w:rPr>
        <w:t>plus de 38%</w:t>
      </w:r>
      <w:r w:rsidR="000E7CB0">
        <w:rPr>
          <w:w w:val="95"/>
          <w:sz w:val="24"/>
          <w:szCs w:val="24"/>
        </w:rPr>
        <w:t xml:space="preserve"> </w:t>
      </w:r>
      <w:r w:rsidRPr="00191A3E">
        <w:rPr>
          <w:w w:val="95"/>
          <w:sz w:val="24"/>
          <w:szCs w:val="24"/>
        </w:rPr>
        <w:t>de la demande régionale</w:t>
      </w:r>
      <w:r w:rsidR="00BA0A8A">
        <w:rPr>
          <w:w w:val="95"/>
          <w:sz w:val="24"/>
          <w:szCs w:val="24"/>
        </w:rPr>
        <w:t>,</w:t>
      </w:r>
      <w:r w:rsidRPr="00191A3E">
        <w:rPr>
          <w:sz w:val="24"/>
          <w:szCs w:val="24"/>
        </w:rPr>
        <w:t xml:space="preserve"> est un marché qui a enregistré au cours de ces </w:t>
      </w:r>
      <w:r w:rsidRPr="00191A3E">
        <w:rPr>
          <w:w w:val="95"/>
          <w:sz w:val="24"/>
          <w:szCs w:val="24"/>
        </w:rPr>
        <w:t>dernières années, une progression notable dans toutes ses composantes en enregistrant un taux d’évolution moyen de 10%</w:t>
      </w:r>
      <w:r w:rsidR="00CB7310">
        <w:rPr>
          <w:w w:val="95"/>
          <w:sz w:val="24"/>
          <w:szCs w:val="24"/>
        </w:rPr>
        <w:t>.</w:t>
      </w:r>
      <w:r w:rsidR="00E358D2">
        <w:rPr>
          <w:w w:val="95"/>
          <w:sz w:val="24"/>
          <w:szCs w:val="24"/>
        </w:rPr>
        <w:t xml:space="preserve"> </w:t>
      </w:r>
      <w:r w:rsidR="00CB7310">
        <w:rPr>
          <w:w w:val="95"/>
          <w:sz w:val="24"/>
          <w:szCs w:val="24"/>
        </w:rPr>
        <w:t>Cette situation de croissance sera favorisée avec l</w:t>
      </w:r>
      <w:r w:rsidR="00CB7310" w:rsidRPr="00191A3E">
        <w:rPr>
          <w:w w:val="95"/>
          <w:sz w:val="24"/>
          <w:szCs w:val="24"/>
        </w:rPr>
        <w:t>’entrée</w:t>
      </w:r>
      <w:r w:rsidRPr="00191A3E">
        <w:rPr>
          <w:w w:val="95"/>
          <w:sz w:val="24"/>
          <w:szCs w:val="24"/>
        </w:rPr>
        <w:t xml:space="preserve"> en vigueur de </w:t>
      </w:r>
      <w:r w:rsidR="00CB7310">
        <w:rPr>
          <w:sz w:val="24"/>
          <w:szCs w:val="24"/>
        </w:rPr>
        <w:t>la couverture</w:t>
      </w:r>
      <w:r w:rsidRPr="00191A3E">
        <w:rPr>
          <w:sz w:val="24"/>
          <w:szCs w:val="24"/>
        </w:rPr>
        <w:t xml:space="preserve"> maladie </w:t>
      </w:r>
      <w:r>
        <w:rPr>
          <w:sz w:val="24"/>
          <w:szCs w:val="24"/>
        </w:rPr>
        <w:t>u</w:t>
      </w:r>
      <w:r w:rsidRPr="00191A3E">
        <w:rPr>
          <w:sz w:val="24"/>
          <w:szCs w:val="24"/>
        </w:rPr>
        <w:t>niverselle (</w:t>
      </w:r>
      <w:r w:rsidR="00CB7310">
        <w:rPr>
          <w:sz w:val="24"/>
          <w:szCs w:val="24"/>
        </w:rPr>
        <w:t>C</w:t>
      </w:r>
      <w:r w:rsidRPr="00191A3E">
        <w:rPr>
          <w:sz w:val="24"/>
          <w:szCs w:val="24"/>
        </w:rPr>
        <w:t xml:space="preserve">MU) en mois de janvier </w:t>
      </w:r>
      <w:r w:rsidR="00CB7310">
        <w:rPr>
          <w:sz w:val="24"/>
          <w:szCs w:val="24"/>
        </w:rPr>
        <w:t>2020, dont</w:t>
      </w:r>
      <w:r w:rsidR="00C56CA4">
        <w:rPr>
          <w:sz w:val="24"/>
          <w:szCs w:val="24"/>
        </w:rPr>
        <w:t xml:space="preserve"> </w:t>
      </w:r>
      <w:r w:rsidR="00CB7310">
        <w:rPr>
          <w:color w:val="1D1D1B"/>
          <w:sz w:val="24"/>
          <w:szCs w:val="24"/>
          <w:shd w:val="clear" w:color="auto" w:fill="FFFFFF"/>
        </w:rPr>
        <w:t>l’</w:t>
      </w:r>
      <w:r w:rsidR="00CB7310" w:rsidRPr="00CB7310">
        <w:rPr>
          <w:color w:val="1D1D1B"/>
          <w:sz w:val="24"/>
          <w:szCs w:val="24"/>
          <w:shd w:val="clear" w:color="auto" w:fill="FFFFFF"/>
        </w:rPr>
        <w:t xml:space="preserve">objectif </w:t>
      </w:r>
      <w:r w:rsidR="00CB7310">
        <w:rPr>
          <w:color w:val="1D1D1B"/>
          <w:sz w:val="24"/>
          <w:szCs w:val="24"/>
          <w:shd w:val="clear" w:color="auto" w:fill="FFFFFF"/>
        </w:rPr>
        <w:t xml:space="preserve">est </w:t>
      </w:r>
      <w:r w:rsidR="00CB7310" w:rsidRPr="00CB7310">
        <w:rPr>
          <w:color w:val="1D1D1B"/>
          <w:sz w:val="24"/>
          <w:szCs w:val="24"/>
          <w:shd w:val="clear" w:color="auto" w:fill="FFFFFF"/>
        </w:rPr>
        <w:t>de garantir à l’ensemble des Ivoiriens résidant en Côte d’Ivoire l’accès à des services de santé de qualité</w:t>
      </w:r>
      <w:r w:rsidR="00CB7310">
        <w:rPr>
          <w:color w:val="1D1D1B"/>
          <w:sz w:val="24"/>
          <w:szCs w:val="24"/>
          <w:shd w:val="clear" w:color="auto" w:fill="FFFFFF"/>
        </w:rPr>
        <w:t xml:space="preserve"> avec un taux de couverture de 70%.</w:t>
      </w:r>
    </w:p>
    <w:p w:rsidR="007F458B" w:rsidRDefault="007F458B" w:rsidP="00B00567">
      <w:pPr>
        <w:spacing w:after="0" w:line="240" w:lineRule="auto"/>
        <w:rPr>
          <w:sz w:val="28"/>
          <w:szCs w:val="28"/>
          <w:u w:val="single"/>
        </w:rPr>
      </w:pPr>
    </w:p>
    <w:p w:rsidR="007F458B" w:rsidRPr="00191A3E" w:rsidRDefault="007F458B" w:rsidP="00B630D5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191A3E">
        <w:rPr>
          <w:b/>
          <w:bCs/>
          <w:sz w:val="28"/>
          <w:szCs w:val="28"/>
          <w:u w:val="single"/>
        </w:rPr>
        <w:t xml:space="preserve">2/ La </w:t>
      </w:r>
      <w:r>
        <w:rPr>
          <w:b/>
          <w:bCs/>
          <w:sz w:val="28"/>
          <w:szCs w:val="28"/>
          <w:u w:val="single"/>
        </w:rPr>
        <w:t>p</w:t>
      </w:r>
      <w:r w:rsidRPr="00191A3E">
        <w:rPr>
          <w:b/>
          <w:bCs/>
          <w:sz w:val="28"/>
          <w:szCs w:val="28"/>
          <w:u w:val="single"/>
        </w:rPr>
        <w:t>roduction Locale</w:t>
      </w:r>
    </w:p>
    <w:p w:rsidR="007F458B" w:rsidRDefault="007F458B" w:rsidP="00B630D5">
      <w:pPr>
        <w:spacing w:after="0" w:line="240" w:lineRule="auto"/>
        <w:jc w:val="both"/>
        <w:rPr>
          <w:w w:val="95"/>
          <w:sz w:val="24"/>
          <w:szCs w:val="24"/>
        </w:rPr>
      </w:pPr>
      <w:r w:rsidRPr="00191A3E">
        <w:rPr>
          <w:sz w:val="24"/>
          <w:szCs w:val="24"/>
        </w:rPr>
        <w:t xml:space="preserve">La production locale annuelle </w:t>
      </w:r>
      <w:r w:rsidR="004517DD">
        <w:rPr>
          <w:sz w:val="24"/>
          <w:szCs w:val="24"/>
        </w:rPr>
        <w:t xml:space="preserve">est assurée par une dizaine de laboratoires. Elle </w:t>
      </w:r>
      <w:r w:rsidRPr="00191A3E">
        <w:rPr>
          <w:sz w:val="24"/>
          <w:szCs w:val="24"/>
        </w:rPr>
        <w:t>couvre seulement environ 1</w:t>
      </w:r>
      <w:r w:rsidR="00BA0A8A">
        <w:rPr>
          <w:sz w:val="24"/>
          <w:szCs w:val="24"/>
        </w:rPr>
        <w:t>5</w:t>
      </w:r>
      <w:r w:rsidRPr="00191A3E">
        <w:rPr>
          <w:sz w:val="24"/>
          <w:szCs w:val="24"/>
        </w:rPr>
        <w:t xml:space="preserve"> à </w:t>
      </w:r>
      <w:r w:rsidR="00BA0A8A">
        <w:rPr>
          <w:sz w:val="24"/>
          <w:szCs w:val="24"/>
        </w:rPr>
        <w:t>20</w:t>
      </w:r>
      <w:r w:rsidRPr="00191A3E">
        <w:rPr>
          <w:sz w:val="24"/>
          <w:szCs w:val="24"/>
        </w:rPr>
        <w:t xml:space="preserve"> % des besoins exprimés de la </w:t>
      </w:r>
      <w:r w:rsidRPr="00191A3E">
        <w:rPr>
          <w:w w:val="95"/>
          <w:sz w:val="24"/>
          <w:szCs w:val="24"/>
        </w:rPr>
        <w:t xml:space="preserve">population. Le reste est importé. </w:t>
      </w:r>
    </w:p>
    <w:p w:rsidR="00B630D5" w:rsidRDefault="00B630D5" w:rsidP="00B630D5">
      <w:pPr>
        <w:spacing w:after="0" w:line="240" w:lineRule="auto"/>
        <w:jc w:val="both"/>
        <w:rPr>
          <w:w w:val="95"/>
          <w:sz w:val="24"/>
          <w:szCs w:val="24"/>
        </w:rPr>
      </w:pPr>
    </w:p>
    <w:p w:rsidR="007F458B" w:rsidRPr="00191A3E" w:rsidRDefault="007F458B" w:rsidP="00B630D5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191A3E">
        <w:rPr>
          <w:b/>
          <w:bCs/>
          <w:sz w:val="28"/>
          <w:szCs w:val="28"/>
          <w:u w:val="single"/>
        </w:rPr>
        <w:t xml:space="preserve">3/ </w:t>
      </w:r>
      <w:r w:rsidR="004517DD" w:rsidRPr="00191A3E">
        <w:rPr>
          <w:b/>
          <w:bCs/>
          <w:sz w:val="28"/>
          <w:szCs w:val="28"/>
          <w:u w:val="single"/>
        </w:rPr>
        <w:t xml:space="preserve">les </w:t>
      </w:r>
      <w:r w:rsidR="004517DD">
        <w:rPr>
          <w:b/>
          <w:bCs/>
          <w:sz w:val="28"/>
          <w:szCs w:val="28"/>
          <w:u w:val="single"/>
        </w:rPr>
        <w:t>acteurs</w:t>
      </w:r>
      <w:r w:rsidR="00C56CA4">
        <w:rPr>
          <w:b/>
          <w:bCs/>
          <w:sz w:val="28"/>
          <w:szCs w:val="28"/>
          <w:u w:val="single"/>
        </w:rPr>
        <w:t xml:space="preserve"> </w:t>
      </w:r>
      <w:r w:rsidR="004517DD">
        <w:rPr>
          <w:b/>
          <w:bCs/>
          <w:sz w:val="28"/>
          <w:szCs w:val="28"/>
          <w:u w:val="single"/>
        </w:rPr>
        <w:t xml:space="preserve">d’approvisionnement et de </w:t>
      </w:r>
      <w:r w:rsidRPr="00191A3E">
        <w:rPr>
          <w:b/>
          <w:bCs/>
          <w:sz w:val="28"/>
          <w:szCs w:val="28"/>
          <w:u w:val="single"/>
        </w:rPr>
        <w:t>distribution</w:t>
      </w:r>
    </w:p>
    <w:p w:rsidR="007F458B" w:rsidRDefault="007F458B" w:rsidP="00874F95">
      <w:pPr>
        <w:spacing w:after="0" w:line="240" w:lineRule="auto"/>
        <w:jc w:val="both"/>
        <w:rPr>
          <w:sz w:val="24"/>
          <w:szCs w:val="24"/>
        </w:rPr>
      </w:pPr>
      <w:r w:rsidRPr="00191A3E">
        <w:rPr>
          <w:sz w:val="24"/>
          <w:szCs w:val="24"/>
        </w:rPr>
        <w:t xml:space="preserve">La quasi-totalité de l’offre est satisfaite par le secteur privé qui couvre près de </w:t>
      </w:r>
      <w:r w:rsidR="009407C1">
        <w:rPr>
          <w:sz w:val="24"/>
          <w:szCs w:val="24"/>
        </w:rPr>
        <w:t>8</w:t>
      </w:r>
      <w:r w:rsidRPr="00191A3E">
        <w:rPr>
          <w:sz w:val="24"/>
          <w:szCs w:val="24"/>
        </w:rPr>
        <w:t>0 % de la demande en produits pharmaceutiques</w:t>
      </w:r>
      <w:r w:rsidR="009407C1">
        <w:rPr>
          <w:sz w:val="24"/>
          <w:szCs w:val="24"/>
        </w:rPr>
        <w:t>, le reste est partag</w:t>
      </w:r>
      <w:r w:rsidR="00B630D5">
        <w:rPr>
          <w:sz w:val="24"/>
          <w:szCs w:val="24"/>
        </w:rPr>
        <w:t>é</w:t>
      </w:r>
      <w:r w:rsidR="009407C1">
        <w:rPr>
          <w:sz w:val="24"/>
          <w:szCs w:val="24"/>
        </w:rPr>
        <w:t xml:space="preserve"> entre les acteurs du </w:t>
      </w:r>
      <w:r w:rsidRPr="00191A3E">
        <w:rPr>
          <w:sz w:val="24"/>
          <w:szCs w:val="24"/>
        </w:rPr>
        <w:t xml:space="preserve">secteur public </w:t>
      </w:r>
      <w:r w:rsidR="009407C1">
        <w:rPr>
          <w:sz w:val="24"/>
          <w:szCs w:val="24"/>
        </w:rPr>
        <w:t>et les autres acteurs.</w:t>
      </w:r>
    </w:p>
    <w:p w:rsidR="00B934AB" w:rsidRDefault="00B934AB" w:rsidP="00B630D5">
      <w:pPr>
        <w:spacing w:after="0" w:line="240" w:lineRule="auto"/>
        <w:rPr>
          <w:sz w:val="24"/>
          <w:szCs w:val="24"/>
        </w:rPr>
      </w:pPr>
    </w:p>
    <w:p w:rsidR="007F458B" w:rsidRPr="0089777B" w:rsidRDefault="007F458B" w:rsidP="0089777B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89777B">
        <w:rPr>
          <w:b/>
          <w:bCs/>
          <w:sz w:val="24"/>
          <w:szCs w:val="24"/>
          <w:u w:val="single"/>
        </w:rPr>
        <w:t>Le secteur Public</w:t>
      </w:r>
    </w:p>
    <w:p w:rsidR="00B934AB" w:rsidRDefault="002F46BF" w:rsidP="00FE426C">
      <w:pPr>
        <w:spacing w:after="0" w:line="240" w:lineRule="auto"/>
        <w:jc w:val="both"/>
        <w:rPr>
          <w:sz w:val="24"/>
          <w:szCs w:val="24"/>
        </w:rPr>
      </w:pPr>
      <w:r w:rsidRPr="0089777B">
        <w:rPr>
          <w:w w:val="95"/>
          <w:sz w:val="24"/>
          <w:szCs w:val="24"/>
        </w:rPr>
        <w:t>La</w:t>
      </w:r>
      <w:r w:rsidR="007F458B" w:rsidRPr="0089777B">
        <w:rPr>
          <w:w w:val="95"/>
          <w:sz w:val="24"/>
          <w:szCs w:val="24"/>
        </w:rPr>
        <w:t xml:space="preserve"> pharmacie de la santé publique </w:t>
      </w:r>
      <w:r w:rsidRPr="0089777B">
        <w:rPr>
          <w:w w:val="95"/>
          <w:sz w:val="24"/>
          <w:szCs w:val="24"/>
        </w:rPr>
        <w:t>N</w:t>
      </w:r>
      <w:r w:rsidR="007F458B" w:rsidRPr="0089777B">
        <w:rPr>
          <w:w w:val="95"/>
          <w:sz w:val="24"/>
          <w:szCs w:val="24"/>
        </w:rPr>
        <w:t>PSP qui est un établissement public sous la tutelle du ministère</w:t>
      </w:r>
      <w:r w:rsidR="007F458B" w:rsidRPr="00191A3E">
        <w:rPr>
          <w:w w:val="95"/>
          <w:sz w:val="24"/>
          <w:szCs w:val="24"/>
        </w:rPr>
        <w:t xml:space="preserve"> de santé</w:t>
      </w:r>
      <w:r w:rsidR="00B81EC9">
        <w:rPr>
          <w:w w:val="95"/>
          <w:sz w:val="24"/>
          <w:szCs w:val="24"/>
        </w:rPr>
        <w:t>, fonctionnant en tant que centrale d’achat</w:t>
      </w:r>
      <w:r w:rsidR="00FE426C">
        <w:rPr>
          <w:w w:val="95"/>
          <w:sz w:val="24"/>
          <w:szCs w:val="24"/>
        </w:rPr>
        <w:t>,</w:t>
      </w:r>
      <w:r w:rsidR="0064526D">
        <w:rPr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est l’organisme officiellement </w:t>
      </w:r>
      <w:r w:rsidR="007F458B" w:rsidRPr="00191A3E">
        <w:rPr>
          <w:w w:val="95"/>
          <w:sz w:val="24"/>
          <w:szCs w:val="24"/>
        </w:rPr>
        <w:t xml:space="preserve"> chargé de </w:t>
      </w:r>
      <w:r w:rsidR="007F458B" w:rsidRPr="00191A3E">
        <w:rPr>
          <w:sz w:val="24"/>
          <w:szCs w:val="24"/>
        </w:rPr>
        <w:t>la distribution du médicament et du consommable médical</w:t>
      </w:r>
      <w:r w:rsidR="007F458B">
        <w:rPr>
          <w:sz w:val="24"/>
          <w:szCs w:val="24"/>
        </w:rPr>
        <w:t>e</w:t>
      </w:r>
      <w:r w:rsidR="007F458B" w:rsidRPr="00191A3E">
        <w:rPr>
          <w:sz w:val="24"/>
          <w:szCs w:val="24"/>
        </w:rPr>
        <w:t xml:space="preserve"> dans les établissements publics de santé, dans certains </w:t>
      </w:r>
      <w:r w:rsidR="007F458B" w:rsidRPr="00191A3E">
        <w:rPr>
          <w:w w:val="95"/>
          <w:sz w:val="24"/>
          <w:szCs w:val="24"/>
        </w:rPr>
        <w:t xml:space="preserve">établissements (prisons, pouponnières, etc.) et aux programmes nationaux </w:t>
      </w:r>
      <w:r w:rsidR="007F458B" w:rsidRPr="00191A3E">
        <w:rPr>
          <w:sz w:val="24"/>
          <w:szCs w:val="24"/>
        </w:rPr>
        <w:t>de lutte contre la maladie</w:t>
      </w:r>
      <w:r w:rsidR="000C7DB6">
        <w:rPr>
          <w:sz w:val="24"/>
          <w:szCs w:val="24"/>
        </w:rPr>
        <w:t xml:space="preserve"> (18 programme</w:t>
      </w:r>
      <w:r w:rsidR="000F04D8">
        <w:rPr>
          <w:sz w:val="24"/>
          <w:szCs w:val="24"/>
        </w:rPr>
        <w:t>s</w:t>
      </w:r>
      <w:r w:rsidR="000C7DB6">
        <w:rPr>
          <w:sz w:val="24"/>
          <w:szCs w:val="24"/>
        </w:rPr>
        <w:t>)</w:t>
      </w:r>
      <w:r w:rsidR="00B934AB">
        <w:rPr>
          <w:sz w:val="24"/>
          <w:szCs w:val="24"/>
        </w:rPr>
        <w:t>.</w:t>
      </w:r>
    </w:p>
    <w:p w:rsidR="00F16C8B" w:rsidRDefault="008604A7" w:rsidP="00B630D5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fr-FR" w:eastAsia="fr-FR"/>
        </w:rPr>
        <w:drawing>
          <wp:inline distT="0" distB="0" distL="0" distR="0">
            <wp:extent cx="5828305" cy="1630017"/>
            <wp:effectExtent l="19050" t="0" r="995" b="0"/>
            <wp:docPr id="94" name="Imag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305" cy="1630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58B" w:rsidRPr="0089777B" w:rsidRDefault="007F458B" w:rsidP="0089777B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89777B">
        <w:rPr>
          <w:b/>
          <w:bCs/>
          <w:sz w:val="24"/>
          <w:szCs w:val="24"/>
          <w:u w:val="single"/>
        </w:rPr>
        <w:lastRenderedPageBreak/>
        <w:t>Le secteur privé</w:t>
      </w:r>
    </w:p>
    <w:p w:rsidR="000F7894" w:rsidRDefault="007F458B" w:rsidP="00F16C8B">
      <w:pPr>
        <w:spacing w:after="0" w:line="240" w:lineRule="auto"/>
        <w:jc w:val="both"/>
        <w:rPr>
          <w:sz w:val="24"/>
          <w:szCs w:val="24"/>
        </w:rPr>
      </w:pPr>
      <w:r w:rsidRPr="00276C3B">
        <w:rPr>
          <w:sz w:val="24"/>
          <w:szCs w:val="24"/>
        </w:rPr>
        <w:t>Le secteur pharmaceutique privé assur</w:t>
      </w:r>
      <w:r w:rsidR="000F7894">
        <w:rPr>
          <w:sz w:val="24"/>
          <w:szCs w:val="24"/>
        </w:rPr>
        <w:t>e</w:t>
      </w:r>
      <w:r w:rsidRPr="00276C3B">
        <w:rPr>
          <w:sz w:val="24"/>
          <w:szCs w:val="24"/>
        </w:rPr>
        <w:t xml:space="preserve"> l’approvisionnement des officines de pharmacie</w:t>
      </w:r>
      <w:r w:rsidR="00276C3B">
        <w:rPr>
          <w:sz w:val="24"/>
          <w:szCs w:val="24"/>
        </w:rPr>
        <w:t xml:space="preserve"> et</w:t>
      </w:r>
      <w:r w:rsidR="00276C3B" w:rsidRPr="00276C3B">
        <w:rPr>
          <w:sz w:val="24"/>
          <w:szCs w:val="24"/>
        </w:rPr>
        <w:t xml:space="preserve"> les structures sanitaires privées (cliniques, polycliniques…)</w:t>
      </w:r>
      <w:r w:rsidR="000F7894">
        <w:rPr>
          <w:sz w:val="24"/>
          <w:szCs w:val="24"/>
        </w:rPr>
        <w:t>. Il occupe</w:t>
      </w:r>
      <w:r w:rsidR="000F7894" w:rsidRPr="00D060AC">
        <w:rPr>
          <w:sz w:val="24"/>
          <w:szCs w:val="24"/>
        </w:rPr>
        <w:t xml:space="preserve"> une place prépondérante dans le système de santé et </w:t>
      </w:r>
      <w:r w:rsidR="000F7894">
        <w:rPr>
          <w:sz w:val="24"/>
          <w:szCs w:val="24"/>
        </w:rPr>
        <w:t xml:space="preserve">il </w:t>
      </w:r>
      <w:r w:rsidR="000F7894" w:rsidRPr="00D060AC">
        <w:rPr>
          <w:sz w:val="24"/>
          <w:szCs w:val="24"/>
        </w:rPr>
        <w:t>couvr</w:t>
      </w:r>
      <w:r w:rsidR="000F7894">
        <w:rPr>
          <w:sz w:val="24"/>
          <w:szCs w:val="24"/>
        </w:rPr>
        <w:t>e</w:t>
      </w:r>
      <w:r w:rsidR="000F7894" w:rsidRPr="00D060AC">
        <w:rPr>
          <w:sz w:val="24"/>
          <w:szCs w:val="24"/>
        </w:rPr>
        <w:t xml:space="preserve"> entre </w:t>
      </w:r>
      <w:r w:rsidR="000F7894">
        <w:rPr>
          <w:sz w:val="24"/>
          <w:szCs w:val="24"/>
        </w:rPr>
        <w:t>75</w:t>
      </w:r>
      <w:r w:rsidR="000F7894" w:rsidRPr="00D060AC">
        <w:rPr>
          <w:sz w:val="24"/>
          <w:szCs w:val="24"/>
        </w:rPr>
        <w:t xml:space="preserve"> et </w:t>
      </w:r>
      <w:r w:rsidR="000F7894">
        <w:rPr>
          <w:sz w:val="24"/>
          <w:szCs w:val="24"/>
        </w:rPr>
        <w:t>8</w:t>
      </w:r>
      <w:r w:rsidR="000F7894" w:rsidRPr="00D060AC">
        <w:rPr>
          <w:sz w:val="24"/>
          <w:szCs w:val="24"/>
        </w:rPr>
        <w:t>0% de l’offre en médicament</w:t>
      </w:r>
      <w:r w:rsidR="000F7894">
        <w:rPr>
          <w:sz w:val="24"/>
          <w:szCs w:val="24"/>
        </w:rPr>
        <w:t>. Ce secteur</w:t>
      </w:r>
      <w:r w:rsidR="00C56CA4">
        <w:rPr>
          <w:sz w:val="24"/>
          <w:szCs w:val="24"/>
        </w:rPr>
        <w:t xml:space="preserve"> </w:t>
      </w:r>
      <w:r w:rsidRPr="00276C3B">
        <w:rPr>
          <w:sz w:val="24"/>
          <w:szCs w:val="24"/>
        </w:rPr>
        <w:t>comprend 5 grossistes répartiteurs</w:t>
      </w:r>
      <w:r w:rsidR="000F7894">
        <w:rPr>
          <w:sz w:val="24"/>
          <w:szCs w:val="24"/>
        </w:rPr>
        <w:t> :</w:t>
      </w:r>
    </w:p>
    <w:p w:rsidR="00672994" w:rsidRDefault="00672994" w:rsidP="00F16C8B">
      <w:pPr>
        <w:spacing w:after="0" w:line="240" w:lineRule="auto"/>
        <w:jc w:val="both"/>
        <w:rPr>
          <w:sz w:val="24"/>
          <w:szCs w:val="24"/>
        </w:rPr>
      </w:pPr>
    </w:p>
    <w:p w:rsidR="000F7894" w:rsidRPr="00672994" w:rsidRDefault="007F458B" w:rsidP="0089777B">
      <w:pPr>
        <w:pStyle w:val="Paragraphedeliste"/>
        <w:numPr>
          <w:ilvl w:val="0"/>
          <w:numId w:val="20"/>
        </w:numPr>
        <w:spacing w:after="0" w:line="240" w:lineRule="auto"/>
        <w:ind w:left="284" w:hanging="284"/>
        <w:jc w:val="both"/>
        <w:rPr>
          <w:w w:val="95"/>
          <w:sz w:val="24"/>
          <w:szCs w:val="24"/>
        </w:rPr>
      </w:pPr>
      <w:r w:rsidRPr="00672994">
        <w:rPr>
          <w:sz w:val="24"/>
          <w:szCs w:val="24"/>
        </w:rPr>
        <w:t>LABOREX-CI</w:t>
      </w:r>
      <w:r w:rsidR="00A548E4" w:rsidRPr="00672994">
        <w:rPr>
          <w:sz w:val="24"/>
          <w:szCs w:val="24"/>
        </w:rPr>
        <w:t xml:space="preserve"> (</w:t>
      </w:r>
      <w:r w:rsidR="00A548E4" w:rsidRPr="00672994"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>filiale du groupe UBIPHARM)</w:t>
      </w:r>
      <w:r w:rsidR="00FE426C"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 xml:space="preserve"> </w:t>
      </w:r>
      <w:r w:rsidR="000F7894" w:rsidRPr="00672994">
        <w:rPr>
          <w:sz w:val="24"/>
          <w:szCs w:val="24"/>
        </w:rPr>
        <w:t>est le premier avec un</w:t>
      </w:r>
      <w:r w:rsidR="000F04D8" w:rsidRPr="00672994">
        <w:rPr>
          <w:sz w:val="24"/>
          <w:szCs w:val="24"/>
        </w:rPr>
        <w:t>e</w:t>
      </w:r>
      <w:r w:rsidR="000F7894" w:rsidRPr="00672994">
        <w:rPr>
          <w:sz w:val="24"/>
          <w:szCs w:val="24"/>
        </w:rPr>
        <w:t xml:space="preserve"> part de marché de 36% en 2018 soit un chiffre d’affaire</w:t>
      </w:r>
      <w:r w:rsidR="000F04D8" w:rsidRPr="00672994">
        <w:rPr>
          <w:sz w:val="24"/>
          <w:szCs w:val="24"/>
        </w:rPr>
        <w:t>s</w:t>
      </w:r>
      <w:r w:rsidR="000F7894" w:rsidRPr="00672994">
        <w:rPr>
          <w:sz w:val="24"/>
          <w:szCs w:val="24"/>
        </w:rPr>
        <w:t xml:space="preserve"> de</w:t>
      </w:r>
      <w:r w:rsidR="00FE426C">
        <w:rPr>
          <w:sz w:val="24"/>
          <w:szCs w:val="24"/>
        </w:rPr>
        <w:t xml:space="preserve"> </w:t>
      </w:r>
      <w:r w:rsidR="000F7894" w:rsidRPr="00672994">
        <w:rPr>
          <w:rFonts w:cs="Segoe UI"/>
          <w:color w:val="212529"/>
          <w:sz w:val="24"/>
          <w:szCs w:val="24"/>
          <w:shd w:val="clear" w:color="auto" w:fill="FFFFFF"/>
        </w:rPr>
        <w:t>103 Milliards FCFA</w:t>
      </w:r>
    </w:p>
    <w:p w:rsidR="000F7894" w:rsidRPr="00672994" w:rsidRDefault="000F7894" w:rsidP="0089777B">
      <w:pPr>
        <w:pStyle w:val="Paragraphedeliste"/>
        <w:numPr>
          <w:ilvl w:val="0"/>
          <w:numId w:val="20"/>
        </w:numPr>
        <w:spacing w:after="0" w:line="240" w:lineRule="auto"/>
        <w:ind w:left="284" w:hanging="284"/>
        <w:jc w:val="both"/>
        <w:rPr>
          <w:w w:val="95"/>
          <w:sz w:val="24"/>
          <w:szCs w:val="24"/>
        </w:rPr>
      </w:pPr>
      <w:r w:rsidRPr="00672994">
        <w:rPr>
          <w:w w:val="95"/>
          <w:sz w:val="24"/>
          <w:szCs w:val="24"/>
        </w:rPr>
        <w:t>COPHARMED (</w:t>
      </w:r>
      <w:r w:rsidRPr="00672994"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>filiale du groupe EURAPHARMA)</w:t>
      </w:r>
      <w:r w:rsidRPr="00672994">
        <w:rPr>
          <w:w w:val="95"/>
          <w:sz w:val="24"/>
          <w:szCs w:val="24"/>
        </w:rPr>
        <w:t>, en deuxième position avec un chiffre d’affaire</w:t>
      </w:r>
      <w:r w:rsidR="000F04D8" w:rsidRPr="00672994">
        <w:rPr>
          <w:w w:val="95"/>
          <w:sz w:val="24"/>
          <w:szCs w:val="24"/>
        </w:rPr>
        <w:t>s</w:t>
      </w:r>
      <w:r w:rsidRPr="00672994">
        <w:rPr>
          <w:w w:val="95"/>
          <w:sz w:val="24"/>
          <w:szCs w:val="24"/>
        </w:rPr>
        <w:t xml:space="preserve"> de </w:t>
      </w:r>
      <w:r w:rsidRPr="00672994">
        <w:rPr>
          <w:rFonts w:cs="Segoe UI"/>
          <w:color w:val="212529"/>
          <w:sz w:val="24"/>
          <w:szCs w:val="24"/>
          <w:shd w:val="clear" w:color="auto" w:fill="FFFFFF"/>
        </w:rPr>
        <w:t>46 Milliards FCFA</w:t>
      </w:r>
    </w:p>
    <w:p w:rsidR="000F7894" w:rsidRPr="00672994" w:rsidRDefault="000F7894" w:rsidP="0089777B">
      <w:pPr>
        <w:pStyle w:val="Paragraphedeliste"/>
        <w:numPr>
          <w:ilvl w:val="0"/>
          <w:numId w:val="20"/>
        </w:numPr>
        <w:spacing w:after="0" w:line="240" w:lineRule="auto"/>
        <w:ind w:left="284" w:hanging="284"/>
        <w:jc w:val="both"/>
        <w:rPr>
          <w:w w:val="95"/>
          <w:sz w:val="24"/>
          <w:szCs w:val="24"/>
        </w:rPr>
      </w:pPr>
      <w:r w:rsidRPr="00672994">
        <w:rPr>
          <w:w w:val="95"/>
          <w:sz w:val="24"/>
          <w:szCs w:val="24"/>
        </w:rPr>
        <w:t>DPCI (filiale du groupe Français CERP), en troisième position avec un chiffre d’affaire</w:t>
      </w:r>
      <w:r w:rsidR="000F04D8" w:rsidRPr="00672994">
        <w:rPr>
          <w:w w:val="95"/>
          <w:sz w:val="24"/>
          <w:szCs w:val="24"/>
        </w:rPr>
        <w:t>s</w:t>
      </w:r>
      <w:r w:rsidRPr="00672994">
        <w:rPr>
          <w:w w:val="95"/>
          <w:sz w:val="24"/>
          <w:szCs w:val="24"/>
        </w:rPr>
        <w:t xml:space="preserve"> de </w:t>
      </w:r>
      <w:r w:rsidRPr="00672994">
        <w:rPr>
          <w:rFonts w:cs="Segoe UI"/>
          <w:color w:val="212529"/>
          <w:sz w:val="24"/>
          <w:szCs w:val="24"/>
          <w:shd w:val="clear" w:color="auto" w:fill="FFFFFF"/>
        </w:rPr>
        <w:t>28 Milliards FCFA</w:t>
      </w:r>
    </w:p>
    <w:p w:rsidR="000F7894" w:rsidRPr="00672994" w:rsidRDefault="000F7894" w:rsidP="0089777B">
      <w:pPr>
        <w:pStyle w:val="Paragraphedeliste"/>
        <w:numPr>
          <w:ilvl w:val="0"/>
          <w:numId w:val="20"/>
        </w:numPr>
        <w:spacing w:after="0" w:line="240" w:lineRule="auto"/>
        <w:ind w:left="284" w:hanging="284"/>
        <w:jc w:val="both"/>
        <w:rPr>
          <w:w w:val="95"/>
          <w:sz w:val="24"/>
          <w:szCs w:val="24"/>
        </w:rPr>
      </w:pPr>
      <w:r w:rsidRPr="00672994">
        <w:rPr>
          <w:w w:val="95"/>
          <w:sz w:val="24"/>
          <w:szCs w:val="24"/>
        </w:rPr>
        <w:t>TEDIS PHARMA, le quatrième avec un chiffre d’affaire</w:t>
      </w:r>
      <w:r w:rsidR="000F04D8" w:rsidRPr="00672994">
        <w:rPr>
          <w:w w:val="95"/>
          <w:sz w:val="24"/>
          <w:szCs w:val="24"/>
        </w:rPr>
        <w:t>s</w:t>
      </w:r>
      <w:r w:rsidRPr="00672994">
        <w:rPr>
          <w:w w:val="95"/>
          <w:sz w:val="24"/>
          <w:szCs w:val="24"/>
        </w:rPr>
        <w:t xml:space="preserve"> de </w:t>
      </w:r>
      <w:r w:rsidRPr="00672994">
        <w:rPr>
          <w:rFonts w:cs="Segoe UI"/>
          <w:color w:val="212529"/>
          <w:sz w:val="24"/>
          <w:szCs w:val="24"/>
          <w:shd w:val="clear" w:color="auto" w:fill="FFFFFF"/>
        </w:rPr>
        <w:t>14 Milliards FCFA</w:t>
      </w:r>
    </w:p>
    <w:p w:rsidR="000F7894" w:rsidRPr="00672994" w:rsidRDefault="000F7894" w:rsidP="0089777B">
      <w:pPr>
        <w:pStyle w:val="Paragraphedeliste"/>
        <w:numPr>
          <w:ilvl w:val="0"/>
          <w:numId w:val="20"/>
        </w:numPr>
        <w:spacing w:after="0" w:line="240" w:lineRule="auto"/>
        <w:ind w:left="284" w:hanging="284"/>
        <w:jc w:val="both"/>
        <w:rPr>
          <w:w w:val="95"/>
          <w:sz w:val="24"/>
          <w:szCs w:val="24"/>
        </w:rPr>
      </w:pPr>
      <w:r w:rsidRPr="00672994">
        <w:rPr>
          <w:w w:val="95"/>
          <w:sz w:val="24"/>
          <w:szCs w:val="24"/>
        </w:rPr>
        <w:t>CODIPHARM (récemment introduit sur le marché)</w:t>
      </w:r>
      <w:r w:rsidR="00AB409C" w:rsidRPr="00672994">
        <w:rPr>
          <w:w w:val="95"/>
          <w:sz w:val="24"/>
          <w:szCs w:val="24"/>
        </w:rPr>
        <w:t xml:space="preserve">, ayant </w:t>
      </w:r>
      <w:r w:rsidR="00AB409C" w:rsidRPr="00672994">
        <w:rPr>
          <w:sz w:val="24"/>
          <w:szCs w:val="24"/>
        </w:rPr>
        <w:t>obtenu la licence définitive le 04 octobre 2017. L</w:t>
      </w:r>
      <w:r w:rsidR="000F04D8" w:rsidRPr="00672994">
        <w:rPr>
          <w:sz w:val="24"/>
          <w:szCs w:val="24"/>
        </w:rPr>
        <w:t>a</w:t>
      </w:r>
      <w:r w:rsidR="00AB409C" w:rsidRPr="00672994">
        <w:rPr>
          <w:sz w:val="24"/>
          <w:szCs w:val="24"/>
        </w:rPr>
        <w:t xml:space="preserve"> part de marché est estimé</w:t>
      </w:r>
      <w:r w:rsidR="000F04D8" w:rsidRPr="00672994">
        <w:rPr>
          <w:sz w:val="24"/>
          <w:szCs w:val="24"/>
        </w:rPr>
        <w:t>e</w:t>
      </w:r>
      <w:r w:rsidR="00AB409C" w:rsidRPr="00672994">
        <w:rPr>
          <w:sz w:val="24"/>
          <w:szCs w:val="24"/>
        </w:rPr>
        <w:t xml:space="preserve"> à 7% pendant les trois premières années d’exercice. </w:t>
      </w:r>
    </w:p>
    <w:p w:rsidR="000F7894" w:rsidRDefault="000F7894" w:rsidP="00A548E4">
      <w:pPr>
        <w:spacing w:after="0" w:line="240" w:lineRule="auto"/>
        <w:jc w:val="both"/>
        <w:rPr>
          <w:w w:val="95"/>
          <w:sz w:val="24"/>
          <w:szCs w:val="24"/>
        </w:rPr>
      </w:pPr>
    </w:p>
    <w:p w:rsidR="00B630D5" w:rsidRDefault="000F7894" w:rsidP="000F7894">
      <w:pPr>
        <w:spacing w:after="0" w:line="240" w:lineRule="auto"/>
        <w:jc w:val="both"/>
        <w:rPr>
          <w:rFonts w:ascii="Segoe UI" w:hAnsi="Segoe UI" w:cs="Segoe UI"/>
          <w:color w:val="212529"/>
          <w:sz w:val="20"/>
          <w:szCs w:val="20"/>
          <w:shd w:val="clear" w:color="auto" w:fill="FFFFFF"/>
        </w:rPr>
      </w:pPr>
      <w:r w:rsidRPr="000F7894">
        <w:rPr>
          <w:rFonts w:cs="Segoe UI"/>
          <w:color w:val="212529"/>
          <w:sz w:val="24"/>
          <w:szCs w:val="24"/>
          <w:shd w:val="clear" w:color="auto" w:fill="FFFFFF"/>
        </w:rPr>
        <w:t>Ces entreprises sont affiliées à des centrales d’achat et des plateformes logistiques situées pour la plus grande part en France</w:t>
      </w:r>
      <w:r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>.</w:t>
      </w:r>
    </w:p>
    <w:p w:rsidR="008604A7" w:rsidRDefault="008604A7" w:rsidP="000F7894">
      <w:pPr>
        <w:spacing w:after="0" w:line="240" w:lineRule="auto"/>
        <w:jc w:val="both"/>
        <w:rPr>
          <w:rFonts w:ascii="Segoe UI" w:hAnsi="Segoe UI" w:cs="Segoe UI"/>
          <w:color w:val="212529"/>
          <w:sz w:val="20"/>
          <w:szCs w:val="20"/>
          <w:shd w:val="clear" w:color="auto" w:fill="FFFFFF"/>
        </w:rPr>
      </w:pPr>
      <w:r w:rsidRPr="008604A7">
        <w:rPr>
          <w:rFonts w:ascii="Segoe UI" w:hAnsi="Segoe UI" w:cs="Segoe UI"/>
          <w:noProof/>
          <w:color w:val="212529"/>
          <w:sz w:val="20"/>
          <w:szCs w:val="20"/>
          <w:shd w:val="clear" w:color="auto" w:fill="FFFFFF"/>
          <w:lang w:val="fr-FR" w:eastAsia="fr-FR"/>
        </w:rPr>
        <w:drawing>
          <wp:inline distT="0" distB="0" distL="0" distR="0">
            <wp:extent cx="5233359" cy="2628900"/>
            <wp:effectExtent l="0" t="0" r="5715" b="0"/>
            <wp:docPr id="66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116" cy="2641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994" w:rsidRDefault="00672994" w:rsidP="00672994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9407C1" w:rsidRPr="00672994" w:rsidRDefault="009407C1" w:rsidP="00672994">
      <w:pPr>
        <w:spacing w:after="0" w:line="240" w:lineRule="auto"/>
        <w:rPr>
          <w:sz w:val="24"/>
          <w:szCs w:val="24"/>
          <w:u w:val="single"/>
        </w:rPr>
      </w:pPr>
      <w:r w:rsidRPr="00672994">
        <w:rPr>
          <w:b/>
          <w:bCs/>
          <w:sz w:val="24"/>
          <w:szCs w:val="24"/>
          <w:u w:val="single"/>
        </w:rPr>
        <w:t>Autres acteurs</w:t>
      </w:r>
      <w:r w:rsidRPr="00672994">
        <w:rPr>
          <w:sz w:val="24"/>
          <w:szCs w:val="24"/>
          <w:u w:val="single"/>
        </w:rPr>
        <w:t> :</w:t>
      </w:r>
    </w:p>
    <w:p w:rsidR="004C33B6" w:rsidRDefault="009407C1" w:rsidP="00587550">
      <w:pPr>
        <w:spacing w:after="0" w:line="240" w:lineRule="auto"/>
        <w:jc w:val="both"/>
        <w:rPr>
          <w:sz w:val="24"/>
          <w:szCs w:val="24"/>
        </w:rPr>
      </w:pPr>
      <w:r w:rsidRPr="00B630D5">
        <w:rPr>
          <w:sz w:val="24"/>
          <w:szCs w:val="24"/>
        </w:rPr>
        <w:t>14 partenaires sont impliqués dans les systèmes d’approvisionnement et de distribution des produits pharmaceutiques dont</w:t>
      </w:r>
      <w:r w:rsidR="004C33B6">
        <w:rPr>
          <w:sz w:val="24"/>
          <w:szCs w:val="24"/>
        </w:rPr>
        <w:t> :</w:t>
      </w:r>
    </w:p>
    <w:p w:rsidR="00672994" w:rsidRDefault="00672994" w:rsidP="00587550">
      <w:pPr>
        <w:spacing w:after="0" w:line="240" w:lineRule="auto"/>
        <w:jc w:val="both"/>
        <w:rPr>
          <w:sz w:val="24"/>
          <w:szCs w:val="24"/>
        </w:rPr>
      </w:pPr>
    </w:p>
    <w:p w:rsidR="004C33B6" w:rsidRPr="00672994" w:rsidRDefault="004C33B6" w:rsidP="00672994">
      <w:pPr>
        <w:pStyle w:val="Paragraphedeliste"/>
        <w:numPr>
          <w:ilvl w:val="2"/>
          <w:numId w:val="2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672994">
        <w:rPr>
          <w:sz w:val="24"/>
          <w:szCs w:val="24"/>
        </w:rPr>
        <w:t>2 partenaires bilatérales : USAID, CDC</w:t>
      </w:r>
    </w:p>
    <w:p w:rsidR="004C33B6" w:rsidRPr="00672994" w:rsidRDefault="004C33B6" w:rsidP="00672994">
      <w:pPr>
        <w:pStyle w:val="Paragraphedeliste"/>
        <w:numPr>
          <w:ilvl w:val="2"/>
          <w:numId w:val="2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672994">
        <w:rPr>
          <w:sz w:val="24"/>
          <w:szCs w:val="24"/>
        </w:rPr>
        <w:t>6 partenaires multilatéraux : OMS, UNICEF, Fond mondial, NU…</w:t>
      </w:r>
    </w:p>
    <w:p w:rsidR="004C33B6" w:rsidRPr="00672994" w:rsidRDefault="009407C1" w:rsidP="00672994">
      <w:pPr>
        <w:pStyle w:val="Paragraphedeliste"/>
        <w:numPr>
          <w:ilvl w:val="2"/>
          <w:numId w:val="2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672994">
        <w:rPr>
          <w:sz w:val="24"/>
          <w:szCs w:val="24"/>
        </w:rPr>
        <w:t>6 ONG</w:t>
      </w:r>
      <w:r w:rsidR="00587550" w:rsidRPr="00672994">
        <w:rPr>
          <w:sz w:val="24"/>
          <w:szCs w:val="24"/>
        </w:rPr>
        <w:t xml:space="preserve"> (organisation non gouvernementale)</w:t>
      </w:r>
    </w:p>
    <w:p w:rsidR="00FB7CE0" w:rsidRDefault="00FB7CE0" w:rsidP="00587550">
      <w:pPr>
        <w:spacing w:after="0" w:line="240" w:lineRule="auto"/>
        <w:jc w:val="both"/>
        <w:rPr>
          <w:sz w:val="24"/>
          <w:szCs w:val="24"/>
        </w:rPr>
      </w:pPr>
    </w:p>
    <w:p w:rsidR="00A26FFF" w:rsidRDefault="000F04D8" w:rsidP="000F04D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587550">
        <w:rPr>
          <w:sz w:val="24"/>
          <w:szCs w:val="24"/>
        </w:rPr>
        <w:t xml:space="preserve">es partenaires ont un rôle financier et/ou d’appui technique, la NPCI occupe toujours la position du leader dans un processus de pérennisation du financement des achats de médicaments en </w:t>
      </w:r>
      <w:r w:rsidRPr="000F04D8">
        <w:rPr>
          <w:rStyle w:val="Accentuation"/>
          <w:rFonts w:cs="Arial"/>
          <w:i w:val="0"/>
          <w:iCs w:val="0"/>
          <w:sz w:val="24"/>
          <w:szCs w:val="24"/>
          <w:shd w:val="clear" w:color="auto" w:fill="FFFFFF"/>
        </w:rPr>
        <w:t>Côte d'Ivoire</w:t>
      </w:r>
      <w:r w:rsidR="00587550" w:rsidRPr="000F04D8">
        <w:rPr>
          <w:sz w:val="24"/>
          <w:szCs w:val="24"/>
        </w:rPr>
        <w:t>.</w:t>
      </w:r>
    </w:p>
    <w:p w:rsidR="00843B16" w:rsidRDefault="00843B16" w:rsidP="00A26FFF">
      <w:pPr>
        <w:rPr>
          <w:sz w:val="24"/>
          <w:szCs w:val="24"/>
        </w:rPr>
      </w:pPr>
    </w:p>
    <w:p w:rsidR="00AF038A" w:rsidRDefault="00AF038A" w:rsidP="00AF038A">
      <w:pPr>
        <w:spacing w:after="0" w:line="240" w:lineRule="auto"/>
        <w:jc w:val="both"/>
        <w:rPr>
          <w:sz w:val="24"/>
          <w:szCs w:val="24"/>
        </w:rPr>
      </w:pPr>
      <w:r w:rsidRPr="00EA284A">
        <w:rPr>
          <w:sz w:val="24"/>
          <w:szCs w:val="24"/>
        </w:rPr>
        <w:lastRenderedPageBreak/>
        <w:t>L’évolution des importations est remarquable ces dernières années avec une forte dominance des grossistes privés. La répartition des importations entre les différents acteurs est comme suit :</w:t>
      </w:r>
    </w:p>
    <w:p w:rsidR="00EE4C94" w:rsidRPr="00EA284A" w:rsidRDefault="00EE4C94" w:rsidP="00AF038A">
      <w:pPr>
        <w:spacing w:after="0" w:line="240" w:lineRule="auto"/>
        <w:jc w:val="both"/>
        <w:rPr>
          <w:sz w:val="24"/>
          <w:szCs w:val="24"/>
        </w:rPr>
      </w:pPr>
    </w:p>
    <w:p w:rsidR="00D00DCE" w:rsidRDefault="00D00DCE" w:rsidP="00B00567">
      <w:pPr>
        <w:spacing w:after="0" w:line="240" w:lineRule="auto"/>
        <w:rPr>
          <w:sz w:val="28"/>
          <w:szCs w:val="28"/>
          <w:u w:val="single"/>
        </w:rPr>
      </w:pPr>
      <w:r w:rsidRPr="00D00DCE">
        <w:rPr>
          <w:noProof/>
          <w:sz w:val="28"/>
          <w:szCs w:val="28"/>
          <w:u w:val="single"/>
          <w:lang w:val="fr-FR" w:eastAsia="fr-FR"/>
        </w:rPr>
        <w:drawing>
          <wp:inline distT="0" distB="0" distL="0" distR="0">
            <wp:extent cx="4573656" cy="2369489"/>
            <wp:effectExtent l="19050" t="0" r="0" b="0"/>
            <wp:docPr id="65" name="Graphique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E4C94" w:rsidRDefault="00EE4C94" w:rsidP="00B00567">
      <w:pPr>
        <w:spacing w:after="0" w:line="240" w:lineRule="auto"/>
        <w:rPr>
          <w:sz w:val="28"/>
          <w:szCs w:val="28"/>
          <w:u w:val="single"/>
        </w:rPr>
      </w:pPr>
    </w:p>
    <w:p w:rsidR="00BA0A8A" w:rsidRPr="00191A3E" w:rsidRDefault="00BA0A8A" w:rsidP="00B630D5">
      <w:pPr>
        <w:spacing w:after="0" w:line="240" w:lineRule="auto"/>
        <w:rPr>
          <w:b/>
          <w:bCs/>
          <w:sz w:val="28"/>
          <w:szCs w:val="28"/>
          <w:u w:val="single"/>
          <w:lang w:val="fr-FR"/>
        </w:rPr>
      </w:pPr>
      <w:r w:rsidRPr="00191A3E">
        <w:rPr>
          <w:b/>
          <w:bCs/>
          <w:sz w:val="28"/>
          <w:szCs w:val="28"/>
          <w:u w:val="single"/>
        </w:rPr>
        <w:t xml:space="preserve">4/ les pays d’approvisionnement </w:t>
      </w:r>
    </w:p>
    <w:p w:rsidR="007F458B" w:rsidRDefault="00BA0A8A" w:rsidP="00B630D5">
      <w:pPr>
        <w:spacing w:after="0" w:line="240" w:lineRule="auto"/>
        <w:jc w:val="both"/>
        <w:rPr>
          <w:bCs/>
          <w:w w:val="95"/>
          <w:sz w:val="24"/>
          <w:szCs w:val="24"/>
        </w:rPr>
      </w:pPr>
      <w:r w:rsidRPr="00191A3E">
        <w:rPr>
          <w:bCs/>
          <w:w w:val="95"/>
          <w:sz w:val="24"/>
          <w:szCs w:val="24"/>
        </w:rPr>
        <w:t xml:space="preserve">Les cinq principaux pays d’approvisionnement en médicaments sont la France, l’Inde, Maroc, </w:t>
      </w:r>
      <w:r>
        <w:rPr>
          <w:bCs/>
          <w:w w:val="95"/>
          <w:sz w:val="24"/>
          <w:szCs w:val="24"/>
        </w:rPr>
        <w:t>C</w:t>
      </w:r>
      <w:r w:rsidRPr="00191A3E">
        <w:rPr>
          <w:bCs/>
          <w:w w:val="95"/>
          <w:sz w:val="24"/>
          <w:szCs w:val="24"/>
        </w:rPr>
        <w:t>hine et Allemagne avec 80% du total des importations</w:t>
      </w:r>
      <w:r w:rsidR="009407C1">
        <w:rPr>
          <w:bCs/>
          <w:w w:val="95"/>
          <w:sz w:val="24"/>
          <w:szCs w:val="24"/>
        </w:rPr>
        <w:t>.</w:t>
      </w:r>
    </w:p>
    <w:p w:rsidR="007F458B" w:rsidRDefault="007F458B" w:rsidP="00B00567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:rsidR="00BA0A8A" w:rsidRPr="009C6859" w:rsidRDefault="00BA0A8A" w:rsidP="00B630D5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5</w:t>
      </w:r>
      <w:r w:rsidRPr="009C6859">
        <w:rPr>
          <w:b/>
          <w:bCs/>
          <w:sz w:val="28"/>
          <w:szCs w:val="28"/>
          <w:u w:val="single"/>
        </w:rPr>
        <w:t>/ les besoins du marché</w:t>
      </w:r>
    </w:p>
    <w:p w:rsidR="003456C3" w:rsidRDefault="00BA0A8A" w:rsidP="001B709A">
      <w:pPr>
        <w:spacing w:after="0" w:line="240" w:lineRule="auto"/>
        <w:jc w:val="both"/>
        <w:rPr>
          <w:bCs/>
          <w:w w:val="95"/>
          <w:sz w:val="24"/>
          <w:szCs w:val="24"/>
        </w:rPr>
      </w:pPr>
      <w:r w:rsidRPr="00191A3E">
        <w:rPr>
          <w:w w:val="95"/>
          <w:sz w:val="24"/>
          <w:szCs w:val="24"/>
        </w:rPr>
        <w:t xml:space="preserve">Le marché pharmaceutique global ivoirien est estimé à </w:t>
      </w:r>
      <w:r w:rsidR="00F16C8B">
        <w:rPr>
          <w:b/>
          <w:w w:val="95"/>
          <w:sz w:val="24"/>
          <w:szCs w:val="24"/>
        </w:rPr>
        <w:t>30</w:t>
      </w:r>
      <w:r w:rsidRPr="00191A3E">
        <w:rPr>
          <w:b/>
          <w:w w:val="95"/>
          <w:sz w:val="24"/>
          <w:szCs w:val="24"/>
        </w:rPr>
        <w:t xml:space="preserve">0 milliards de FCFA </w:t>
      </w:r>
      <w:r w:rsidRPr="00191A3E">
        <w:rPr>
          <w:w w:val="95"/>
          <w:sz w:val="24"/>
          <w:szCs w:val="24"/>
        </w:rPr>
        <w:t xml:space="preserve">et </w:t>
      </w:r>
      <w:r w:rsidRPr="00191A3E">
        <w:rPr>
          <w:sz w:val="24"/>
          <w:szCs w:val="24"/>
        </w:rPr>
        <w:t xml:space="preserve">pourrait passer à </w:t>
      </w:r>
      <w:r w:rsidRPr="00191A3E">
        <w:rPr>
          <w:b/>
          <w:sz w:val="24"/>
          <w:szCs w:val="24"/>
        </w:rPr>
        <w:t>3</w:t>
      </w:r>
      <w:r w:rsidR="00F16C8B">
        <w:rPr>
          <w:b/>
          <w:sz w:val="24"/>
          <w:szCs w:val="24"/>
        </w:rPr>
        <w:t>5</w:t>
      </w:r>
      <w:r w:rsidRPr="00191A3E">
        <w:rPr>
          <w:b/>
          <w:sz w:val="24"/>
          <w:szCs w:val="24"/>
        </w:rPr>
        <w:t xml:space="preserve">0 milliards de FCFA </w:t>
      </w:r>
      <w:r w:rsidRPr="00191A3E">
        <w:rPr>
          <w:sz w:val="24"/>
          <w:szCs w:val="24"/>
        </w:rPr>
        <w:t>avec l’avènement de l’</w:t>
      </w:r>
      <w:r w:rsidR="001B709A">
        <w:rPr>
          <w:sz w:val="24"/>
          <w:szCs w:val="24"/>
        </w:rPr>
        <w:t>a</w:t>
      </w:r>
      <w:r w:rsidRPr="00191A3E">
        <w:rPr>
          <w:sz w:val="24"/>
          <w:szCs w:val="24"/>
        </w:rPr>
        <w:t xml:space="preserve">ssurance </w:t>
      </w:r>
      <w:r w:rsidR="001B709A">
        <w:rPr>
          <w:sz w:val="24"/>
          <w:szCs w:val="24"/>
        </w:rPr>
        <w:t>m</w:t>
      </w:r>
      <w:r w:rsidRPr="00191A3E">
        <w:rPr>
          <w:sz w:val="24"/>
          <w:szCs w:val="24"/>
        </w:rPr>
        <w:t xml:space="preserve">aladie </w:t>
      </w:r>
      <w:r w:rsidR="001B709A">
        <w:rPr>
          <w:sz w:val="24"/>
          <w:szCs w:val="24"/>
        </w:rPr>
        <w:t>u</w:t>
      </w:r>
      <w:r w:rsidRPr="00191A3E">
        <w:rPr>
          <w:sz w:val="24"/>
          <w:szCs w:val="24"/>
        </w:rPr>
        <w:t>niverselle</w:t>
      </w:r>
      <w:r w:rsidR="00F16C8B">
        <w:rPr>
          <w:sz w:val="24"/>
          <w:szCs w:val="24"/>
        </w:rPr>
        <w:t>.</w:t>
      </w:r>
      <w:r w:rsidR="00C56CA4">
        <w:rPr>
          <w:sz w:val="24"/>
          <w:szCs w:val="24"/>
        </w:rPr>
        <w:t xml:space="preserve"> </w:t>
      </w:r>
      <w:r w:rsidRPr="00191A3E">
        <w:rPr>
          <w:bCs/>
          <w:w w:val="95"/>
          <w:sz w:val="24"/>
          <w:szCs w:val="24"/>
        </w:rPr>
        <w:t xml:space="preserve">Plus de </w:t>
      </w:r>
      <w:r w:rsidR="009407C1">
        <w:rPr>
          <w:bCs/>
          <w:w w:val="95"/>
          <w:sz w:val="24"/>
          <w:szCs w:val="24"/>
        </w:rPr>
        <w:t>8</w:t>
      </w:r>
      <w:r w:rsidRPr="00191A3E">
        <w:rPr>
          <w:bCs/>
          <w:w w:val="95"/>
          <w:sz w:val="24"/>
          <w:szCs w:val="24"/>
        </w:rPr>
        <w:t>0% de</w:t>
      </w:r>
      <w:r w:rsidR="001B709A">
        <w:rPr>
          <w:bCs/>
          <w:w w:val="95"/>
          <w:sz w:val="24"/>
          <w:szCs w:val="24"/>
        </w:rPr>
        <w:t>s</w:t>
      </w:r>
      <w:r w:rsidRPr="00191A3E">
        <w:rPr>
          <w:bCs/>
          <w:w w:val="95"/>
          <w:sz w:val="24"/>
          <w:szCs w:val="24"/>
        </w:rPr>
        <w:t xml:space="preserve"> besoins sont couverts par des importations.</w:t>
      </w:r>
    </w:p>
    <w:p w:rsidR="009D64AA" w:rsidRDefault="009D0EDD" w:rsidP="00F16C8B">
      <w:pPr>
        <w:spacing w:after="0" w:line="240" w:lineRule="auto"/>
        <w:jc w:val="both"/>
        <w:rPr>
          <w:bCs/>
          <w:w w:val="95"/>
          <w:sz w:val="24"/>
          <w:szCs w:val="24"/>
        </w:rPr>
      </w:pPr>
      <w:r w:rsidRPr="009D64AA">
        <w:rPr>
          <w:bCs/>
          <w:noProof/>
          <w:w w:val="95"/>
          <w:sz w:val="24"/>
          <w:szCs w:val="24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130810</wp:posOffset>
            </wp:positionV>
            <wp:extent cx="3528060" cy="1882140"/>
            <wp:effectExtent l="0" t="0" r="15240" b="3810"/>
            <wp:wrapSquare wrapText="bothSides"/>
            <wp:docPr id="63" name="Graphique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9D64AA" w:rsidRDefault="009D64AA" w:rsidP="00F16C8B">
      <w:pPr>
        <w:spacing w:after="0" w:line="240" w:lineRule="auto"/>
        <w:jc w:val="both"/>
        <w:rPr>
          <w:bCs/>
          <w:w w:val="95"/>
          <w:sz w:val="24"/>
          <w:szCs w:val="24"/>
        </w:rPr>
      </w:pPr>
      <w:r>
        <w:rPr>
          <w:bCs/>
          <w:w w:val="95"/>
          <w:sz w:val="24"/>
          <w:szCs w:val="24"/>
        </w:rPr>
        <w:br w:type="textWrapping" w:clear="all"/>
      </w:r>
    </w:p>
    <w:p w:rsidR="00B630D5" w:rsidRPr="00191A3E" w:rsidRDefault="00B630D5" w:rsidP="00F16C8B">
      <w:pPr>
        <w:spacing w:after="0" w:line="240" w:lineRule="auto"/>
        <w:jc w:val="both"/>
        <w:rPr>
          <w:sz w:val="24"/>
          <w:szCs w:val="24"/>
        </w:rPr>
      </w:pPr>
      <w:r w:rsidRPr="00191A3E">
        <w:rPr>
          <w:sz w:val="24"/>
          <w:szCs w:val="24"/>
        </w:rPr>
        <w:t>En général les besoins primordiaux du marché ivoirien sont :</w:t>
      </w:r>
    </w:p>
    <w:p w:rsidR="00BA0A8A" w:rsidRDefault="00BA0A8A" w:rsidP="00B630D5">
      <w:pPr>
        <w:spacing w:after="0" w:line="240" w:lineRule="auto"/>
        <w:rPr>
          <w:b/>
          <w:bCs/>
          <w:sz w:val="24"/>
          <w:szCs w:val="24"/>
        </w:rPr>
      </w:pPr>
    </w:p>
    <w:p w:rsidR="00BA0A8A" w:rsidRPr="00191A3E" w:rsidRDefault="00BA0A8A" w:rsidP="00B630D5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</w:t>
      </w:r>
      <w:r w:rsidRPr="00191A3E">
        <w:rPr>
          <w:b/>
          <w:bCs/>
          <w:sz w:val="24"/>
          <w:szCs w:val="24"/>
          <w:u w:val="single"/>
        </w:rPr>
        <w:t>édicaments génériques :</w:t>
      </w:r>
    </w:p>
    <w:p w:rsidR="00BA0A8A" w:rsidRDefault="00BA0A8A" w:rsidP="001B709A">
      <w:pPr>
        <w:spacing w:after="0" w:line="240" w:lineRule="auto"/>
        <w:jc w:val="both"/>
        <w:rPr>
          <w:w w:val="95"/>
          <w:sz w:val="24"/>
          <w:szCs w:val="24"/>
        </w:rPr>
      </w:pPr>
      <w:r w:rsidRPr="00191A3E">
        <w:rPr>
          <w:sz w:val="24"/>
          <w:szCs w:val="24"/>
        </w:rPr>
        <w:t xml:space="preserve">Le marché ivoirien est très riche en référence; il affiche plus de 9500 références </w:t>
      </w:r>
      <w:r w:rsidRPr="00191A3E">
        <w:rPr>
          <w:w w:val="95"/>
          <w:sz w:val="24"/>
          <w:szCs w:val="24"/>
        </w:rPr>
        <w:t>disponibles chez les répartiteurs grossistes en produits pharmaceutiques.</w:t>
      </w:r>
    </w:p>
    <w:p w:rsidR="00786E09" w:rsidRPr="00191A3E" w:rsidRDefault="00786E09" w:rsidP="001B709A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BA0A8A" w:rsidRDefault="00BA0A8A" w:rsidP="00B02578">
      <w:pPr>
        <w:spacing w:after="0" w:line="240" w:lineRule="auto"/>
        <w:jc w:val="both"/>
        <w:rPr>
          <w:w w:val="95"/>
          <w:sz w:val="24"/>
          <w:szCs w:val="24"/>
        </w:rPr>
      </w:pPr>
      <w:r w:rsidRPr="00191A3E">
        <w:rPr>
          <w:w w:val="95"/>
          <w:sz w:val="24"/>
          <w:szCs w:val="24"/>
        </w:rPr>
        <w:t>La pharmacie de la santé publi</w:t>
      </w:r>
      <w:r>
        <w:rPr>
          <w:w w:val="95"/>
          <w:sz w:val="24"/>
          <w:szCs w:val="24"/>
        </w:rPr>
        <w:t>que</w:t>
      </w:r>
      <w:r w:rsidRPr="00191A3E">
        <w:rPr>
          <w:w w:val="95"/>
          <w:sz w:val="24"/>
          <w:szCs w:val="24"/>
        </w:rPr>
        <w:t xml:space="preserve"> PSP  a fixé aussi une liste exhaustive des produits</w:t>
      </w:r>
      <w:r w:rsidR="00C56CA4">
        <w:rPr>
          <w:w w:val="95"/>
          <w:sz w:val="24"/>
          <w:szCs w:val="24"/>
        </w:rPr>
        <w:t xml:space="preserve"> </w:t>
      </w:r>
      <w:r w:rsidR="007033B4" w:rsidRPr="00191A3E">
        <w:rPr>
          <w:w w:val="95"/>
          <w:sz w:val="24"/>
          <w:szCs w:val="24"/>
        </w:rPr>
        <w:t>commercialisés en indiquant la désignation, la famille, conditionnement</w:t>
      </w:r>
      <w:r w:rsidR="007033B4">
        <w:rPr>
          <w:w w:val="95"/>
          <w:sz w:val="24"/>
          <w:szCs w:val="24"/>
        </w:rPr>
        <w:t>, prix final</w:t>
      </w:r>
      <w:r w:rsidR="00B02578">
        <w:rPr>
          <w:w w:val="95"/>
          <w:sz w:val="24"/>
          <w:szCs w:val="24"/>
        </w:rPr>
        <w:t>...</w:t>
      </w:r>
    </w:p>
    <w:p w:rsidR="00786E09" w:rsidRDefault="00786E09" w:rsidP="00B02578">
      <w:pPr>
        <w:spacing w:after="0" w:line="240" w:lineRule="auto"/>
        <w:jc w:val="both"/>
        <w:rPr>
          <w:w w:val="95"/>
          <w:sz w:val="24"/>
          <w:szCs w:val="24"/>
        </w:rPr>
      </w:pPr>
    </w:p>
    <w:p w:rsidR="00BA0A8A" w:rsidRPr="00786E09" w:rsidRDefault="00BA0A8A" w:rsidP="00786E09">
      <w:pPr>
        <w:spacing w:after="0" w:line="240" w:lineRule="auto"/>
        <w:rPr>
          <w:b/>
          <w:bCs/>
          <w:w w:val="95"/>
          <w:sz w:val="24"/>
          <w:szCs w:val="24"/>
          <w:u w:val="single"/>
        </w:rPr>
      </w:pPr>
      <w:r w:rsidRPr="00786E09">
        <w:rPr>
          <w:b/>
          <w:bCs/>
          <w:w w:val="95"/>
          <w:sz w:val="24"/>
          <w:szCs w:val="24"/>
          <w:u w:val="single"/>
        </w:rPr>
        <w:lastRenderedPageBreak/>
        <w:t xml:space="preserve">Thérapies chroniques : </w:t>
      </w:r>
      <w:r w:rsidRPr="00786E09">
        <w:rPr>
          <w:sz w:val="24"/>
          <w:szCs w:val="24"/>
        </w:rPr>
        <w:t>niche à exploiter </w:t>
      </w:r>
    </w:p>
    <w:p w:rsidR="00BA0A8A" w:rsidRDefault="00BA0A8A" w:rsidP="00B630D5">
      <w:pPr>
        <w:spacing w:after="0" w:line="240" w:lineRule="auto"/>
        <w:jc w:val="both"/>
        <w:rPr>
          <w:sz w:val="24"/>
          <w:szCs w:val="24"/>
        </w:rPr>
      </w:pPr>
      <w:r w:rsidRPr="00191A3E">
        <w:rPr>
          <w:sz w:val="24"/>
          <w:szCs w:val="24"/>
        </w:rPr>
        <w:t>Les médicaments  pour certains malades comme</w:t>
      </w:r>
      <w:r w:rsidRPr="00191A3E">
        <w:rPr>
          <w:rFonts w:cs="Arial"/>
          <w:color w:val="222222"/>
          <w:sz w:val="24"/>
          <w:szCs w:val="24"/>
          <w:shd w:val="clear" w:color="auto" w:fill="FFFFFF"/>
        </w:rPr>
        <w:t xml:space="preserve"> le diabète, l'asthme, l'insuffisance rénale chronique, les maladies cardiovasculaires, certains cancers, la sclérose en plaques ou l'endométriose ...</w:t>
      </w:r>
    </w:p>
    <w:p w:rsidR="00786E09" w:rsidRDefault="00786E09" w:rsidP="00B630D5">
      <w:pPr>
        <w:spacing w:after="0" w:line="240" w:lineRule="auto"/>
        <w:jc w:val="both"/>
        <w:rPr>
          <w:sz w:val="24"/>
          <w:szCs w:val="24"/>
        </w:rPr>
      </w:pPr>
    </w:p>
    <w:p w:rsidR="00BA0A8A" w:rsidRPr="00786E09" w:rsidRDefault="00BA0A8A" w:rsidP="00786E09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786E09">
        <w:rPr>
          <w:b/>
          <w:bCs/>
          <w:sz w:val="24"/>
          <w:szCs w:val="24"/>
          <w:u w:val="single"/>
        </w:rPr>
        <w:t>Équipements pour hôpitaux</w:t>
      </w:r>
    </w:p>
    <w:p w:rsidR="00BA0A8A" w:rsidRDefault="00F27BD0" w:rsidP="00786E09">
      <w:pPr>
        <w:pStyle w:val="Paragraphedeliste"/>
        <w:numPr>
          <w:ilvl w:val="0"/>
          <w:numId w:val="7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Équipements généraux </w:t>
      </w:r>
    </w:p>
    <w:p w:rsidR="00F27BD0" w:rsidRDefault="00F27BD0" w:rsidP="00786E09">
      <w:pPr>
        <w:pStyle w:val="Paragraphedeliste"/>
        <w:numPr>
          <w:ilvl w:val="0"/>
          <w:numId w:val="7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Equipements de laboratoires</w:t>
      </w:r>
    </w:p>
    <w:p w:rsidR="00F27BD0" w:rsidRDefault="00F27BD0" w:rsidP="00786E09">
      <w:pPr>
        <w:pStyle w:val="Paragraphedeliste"/>
        <w:numPr>
          <w:ilvl w:val="0"/>
          <w:numId w:val="7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Équipements médicaux</w:t>
      </w:r>
      <w:r w:rsidR="002F182E">
        <w:rPr>
          <w:sz w:val="24"/>
          <w:szCs w:val="24"/>
        </w:rPr>
        <w:t xml:space="preserve">  </w:t>
      </w:r>
    </w:p>
    <w:p w:rsidR="00073350" w:rsidRDefault="00073350" w:rsidP="00786E09">
      <w:pPr>
        <w:pStyle w:val="Paragraphedeliste"/>
        <w:numPr>
          <w:ilvl w:val="0"/>
          <w:numId w:val="7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Instruments médica</w:t>
      </w:r>
      <w:r w:rsidR="001B709A">
        <w:rPr>
          <w:sz w:val="24"/>
          <w:szCs w:val="24"/>
        </w:rPr>
        <w:t>ux</w:t>
      </w:r>
      <w:r>
        <w:rPr>
          <w:sz w:val="24"/>
          <w:szCs w:val="24"/>
        </w:rPr>
        <w:t xml:space="preserve"> et chirurgica</w:t>
      </w:r>
      <w:r w:rsidR="001B709A">
        <w:rPr>
          <w:sz w:val="24"/>
          <w:szCs w:val="24"/>
        </w:rPr>
        <w:t>ux</w:t>
      </w:r>
    </w:p>
    <w:p w:rsidR="00073350" w:rsidRDefault="00F27BD0" w:rsidP="00786E09">
      <w:pPr>
        <w:pStyle w:val="Paragraphedeliste"/>
        <w:numPr>
          <w:ilvl w:val="0"/>
          <w:numId w:val="7"/>
        </w:numPr>
        <w:spacing w:after="0" w:line="240" w:lineRule="auto"/>
        <w:ind w:left="284" w:hanging="284"/>
        <w:rPr>
          <w:sz w:val="24"/>
          <w:szCs w:val="24"/>
        </w:rPr>
      </w:pPr>
      <w:r w:rsidRPr="00073350">
        <w:rPr>
          <w:sz w:val="24"/>
          <w:szCs w:val="24"/>
        </w:rPr>
        <w:t>Mobilier d’hospitalisation</w:t>
      </w:r>
    </w:p>
    <w:p w:rsidR="00786E09" w:rsidRDefault="00786E09" w:rsidP="00786E09">
      <w:pPr>
        <w:pStyle w:val="Paragraphedeliste"/>
        <w:spacing w:after="0" w:line="240" w:lineRule="auto"/>
        <w:ind w:left="786"/>
        <w:rPr>
          <w:sz w:val="24"/>
          <w:szCs w:val="24"/>
        </w:rPr>
      </w:pPr>
    </w:p>
    <w:p w:rsidR="00BA0A8A" w:rsidRPr="00786E09" w:rsidRDefault="00BA0A8A" w:rsidP="00786E09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786E09">
        <w:rPr>
          <w:b/>
          <w:bCs/>
          <w:sz w:val="24"/>
          <w:szCs w:val="24"/>
          <w:u w:val="single"/>
        </w:rPr>
        <w:t>Consommables médicales</w:t>
      </w:r>
    </w:p>
    <w:p w:rsidR="00BA0A8A" w:rsidRDefault="00BA0A8A" w:rsidP="00B630D5">
      <w:pPr>
        <w:spacing w:after="0" w:line="240" w:lineRule="auto"/>
        <w:jc w:val="both"/>
        <w:rPr>
          <w:sz w:val="24"/>
          <w:szCs w:val="24"/>
        </w:rPr>
      </w:pPr>
      <w:r w:rsidRPr="00191A3E">
        <w:rPr>
          <w:sz w:val="24"/>
          <w:szCs w:val="24"/>
        </w:rPr>
        <w:t xml:space="preserve">Essentiellement les produits de protection comme les masques, les vêtements de </w:t>
      </w:r>
      <w:r w:rsidR="002F182E">
        <w:rPr>
          <w:sz w:val="24"/>
          <w:szCs w:val="24"/>
        </w:rPr>
        <w:t>protection</w:t>
      </w:r>
      <w:r w:rsidRPr="00191A3E">
        <w:rPr>
          <w:sz w:val="24"/>
          <w:szCs w:val="24"/>
        </w:rPr>
        <w:t xml:space="preserve"> du staff médical, </w:t>
      </w:r>
      <w:r w:rsidR="002F182E">
        <w:rPr>
          <w:sz w:val="24"/>
          <w:szCs w:val="24"/>
        </w:rPr>
        <w:t xml:space="preserve">les </w:t>
      </w:r>
      <w:r w:rsidRPr="00191A3E">
        <w:rPr>
          <w:sz w:val="24"/>
          <w:szCs w:val="24"/>
        </w:rPr>
        <w:t>produits de stérilisation</w:t>
      </w:r>
      <w:r w:rsidR="002F182E">
        <w:rPr>
          <w:sz w:val="24"/>
          <w:szCs w:val="24"/>
        </w:rPr>
        <w:t>, les gants</w:t>
      </w:r>
      <w:r w:rsidR="00B630D5">
        <w:rPr>
          <w:sz w:val="24"/>
          <w:szCs w:val="24"/>
        </w:rPr>
        <w:t xml:space="preserve">… </w:t>
      </w:r>
    </w:p>
    <w:p w:rsidR="00786E09" w:rsidRDefault="00786E09" w:rsidP="00B630D5">
      <w:pPr>
        <w:spacing w:after="0" w:line="240" w:lineRule="auto"/>
        <w:jc w:val="both"/>
        <w:rPr>
          <w:sz w:val="24"/>
          <w:szCs w:val="24"/>
        </w:rPr>
      </w:pPr>
    </w:p>
    <w:p w:rsidR="00BA0A8A" w:rsidRPr="00786E09" w:rsidRDefault="009407C1" w:rsidP="00786E09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fr-FR"/>
        </w:rPr>
      </w:pPr>
      <w:r w:rsidRPr="00786E09">
        <w:rPr>
          <w:rFonts w:cstheme="minorHAnsi"/>
          <w:b/>
          <w:bCs/>
          <w:sz w:val="24"/>
          <w:szCs w:val="24"/>
          <w:u w:val="single"/>
          <w:lang w:val="fr-FR"/>
        </w:rPr>
        <w:t>Les dispositifs médicaux :</w:t>
      </w:r>
    </w:p>
    <w:p w:rsidR="00F27BD0" w:rsidRDefault="00F27BD0" w:rsidP="00B630D5">
      <w:pPr>
        <w:spacing w:after="0" w:line="240" w:lineRule="auto"/>
      </w:pPr>
      <w:r>
        <w:t xml:space="preserve">Les </w:t>
      </w:r>
      <w:r w:rsidR="00280E15">
        <w:t>d</w:t>
      </w:r>
      <w:r>
        <w:t>ispositifs médicaux  utilisés pour</w:t>
      </w:r>
      <w:r w:rsidR="00C56CA4">
        <w:t xml:space="preserve"> </w:t>
      </w:r>
      <w:r w:rsidR="003E3963">
        <w:t>le diagnostic, la prévention, le contrôle, le traitement…</w:t>
      </w:r>
    </w:p>
    <w:p w:rsidR="00F27BD0" w:rsidRDefault="00F27BD0" w:rsidP="003E3963">
      <w:pPr>
        <w:spacing w:after="0" w:line="240" w:lineRule="auto"/>
      </w:pPr>
    </w:p>
    <w:p w:rsidR="00BA0A8A" w:rsidRPr="005D523E" w:rsidRDefault="00BA0A8A" w:rsidP="005D523E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5D523E">
        <w:rPr>
          <w:b/>
          <w:bCs/>
          <w:sz w:val="24"/>
          <w:szCs w:val="24"/>
          <w:u w:val="single"/>
        </w:rPr>
        <w:t>6/ les opportunités du marché</w:t>
      </w:r>
    </w:p>
    <w:p w:rsidR="00DB0AF5" w:rsidRPr="005D523E" w:rsidRDefault="00DB0AF5" w:rsidP="00786E09">
      <w:pPr>
        <w:pStyle w:val="Paragraphedeliste"/>
        <w:numPr>
          <w:ilvl w:val="0"/>
          <w:numId w:val="10"/>
        </w:numPr>
        <w:spacing w:after="0" w:line="240" w:lineRule="auto"/>
        <w:ind w:left="284" w:hanging="284"/>
        <w:rPr>
          <w:sz w:val="24"/>
          <w:szCs w:val="24"/>
        </w:rPr>
      </w:pPr>
      <w:r w:rsidRPr="005D523E">
        <w:rPr>
          <w:sz w:val="24"/>
          <w:szCs w:val="24"/>
        </w:rPr>
        <w:t>La Côte d’Ivoire a un système public et privé d'approvisionnement et de distribution des médicaments et autres produits de santé clairement défini et fonctionnel.</w:t>
      </w:r>
    </w:p>
    <w:p w:rsidR="00BA0A8A" w:rsidRPr="005D523E" w:rsidRDefault="00BA0A8A" w:rsidP="00786E09">
      <w:pPr>
        <w:pStyle w:val="Paragraphedeliste"/>
        <w:widowControl w:val="0"/>
        <w:numPr>
          <w:ilvl w:val="0"/>
          <w:numId w:val="10"/>
        </w:numPr>
        <w:tabs>
          <w:tab w:val="left" w:pos="1597"/>
        </w:tabs>
        <w:autoSpaceDE w:val="0"/>
        <w:autoSpaceDN w:val="0"/>
        <w:spacing w:after="0" w:line="240" w:lineRule="auto"/>
        <w:ind w:left="284" w:right="1392" w:hanging="284"/>
        <w:jc w:val="both"/>
        <w:rPr>
          <w:sz w:val="24"/>
          <w:szCs w:val="24"/>
        </w:rPr>
      </w:pPr>
      <w:r w:rsidRPr="005D523E">
        <w:rPr>
          <w:w w:val="95"/>
          <w:sz w:val="24"/>
          <w:szCs w:val="24"/>
        </w:rPr>
        <w:t xml:space="preserve">un secteur en pleine hausse avec un   taux </w:t>
      </w:r>
      <w:r w:rsidRPr="005D523E">
        <w:rPr>
          <w:sz w:val="24"/>
          <w:szCs w:val="24"/>
        </w:rPr>
        <w:t>de croissance annuel à 10%</w:t>
      </w:r>
    </w:p>
    <w:p w:rsidR="005D523E" w:rsidRPr="005D523E" w:rsidRDefault="005D523E" w:rsidP="00786E09">
      <w:pPr>
        <w:pStyle w:val="Paragraphedeliste"/>
        <w:widowControl w:val="0"/>
        <w:numPr>
          <w:ilvl w:val="0"/>
          <w:numId w:val="10"/>
        </w:numPr>
        <w:tabs>
          <w:tab w:val="left" w:pos="1597"/>
        </w:tabs>
        <w:autoSpaceDE w:val="0"/>
        <w:autoSpaceDN w:val="0"/>
        <w:spacing w:after="0" w:line="240" w:lineRule="auto"/>
        <w:ind w:left="284" w:right="1392" w:hanging="284"/>
        <w:jc w:val="both"/>
        <w:rPr>
          <w:sz w:val="24"/>
          <w:szCs w:val="24"/>
        </w:rPr>
      </w:pPr>
      <w:r w:rsidRPr="005D523E">
        <w:rPr>
          <w:sz w:val="24"/>
          <w:szCs w:val="24"/>
        </w:rPr>
        <w:t>Plus de 90% des besoins du marché sont fournis par des importations</w:t>
      </w:r>
    </w:p>
    <w:p w:rsidR="00DB0AF5" w:rsidRPr="005D523E" w:rsidRDefault="00DB0AF5" w:rsidP="00786E09">
      <w:pPr>
        <w:pStyle w:val="Paragraphedeliste"/>
        <w:widowControl w:val="0"/>
        <w:numPr>
          <w:ilvl w:val="0"/>
          <w:numId w:val="10"/>
        </w:numPr>
        <w:tabs>
          <w:tab w:val="left" w:pos="1597"/>
        </w:tabs>
        <w:autoSpaceDE w:val="0"/>
        <w:autoSpaceDN w:val="0"/>
        <w:spacing w:after="0" w:line="240" w:lineRule="auto"/>
        <w:ind w:left="284" w:right="1392" w:hanging="284"/>
        <w:jc w:val="both"/>
        <w:rPr>
          <w:sz w:val="24"/>
          <w:szCs w:val="24"/>
        </w:rPr>
      </w:pPr>
      <w:r w:rsidRPr="005D523E">
        <w:rPr>
          <w:sz w:val="24"/>
          <w:szCs w:val="24"/>
        </w:rPr>
        <w:t>La diversité des sources de financement</w:t>
      </w:r>
    </w:p>
    <w:p w:rsidR="00F27BD0" w:rsidRPr="005D523E" w:rsidRDefault="005D523E" w:rsidP="00786E09">
      <w:pPr>
        <w:pStyle w:val="Paragraphedeliste"/>
        <w:widowControl w:val="0"/>
        <w:numPr>
          <w:ilvl w:val="0"/>
          <w:numId w:val="10"/>
        </w:numPr>
        <w:tabs>
          <w:tab w:val="left" w:pos="1597"/>
        </w:tabs>
        <w:autoSpaceDE w:val="0"/>
        <w:autoSpaceDN w:val="0"/>
        <w:spacing w:after="0" w:line="240" w:lineRule="auto"/>
        <w:ind w:left="284" w:right="1392" w:hanging="284"/>
        <w:jc w:val="both"/>
        <w:rPr>
          <w:sz w:val="24"/>
          <w:szCs w:val="24"/>
        </w:rPr>
      </w:pPr>
      <w:r w:rsidRPr="005D523E">
        <w:rPr>
          <w:sz w:val="24"/>
          <w:szCs w:val="24"/>
        </w:rPr>
        <w:t xml:space="preserve">Les grands projets  sanitaires lancés dans le cadre du plan de riposte  sanitaire </w:t>
      </w:r>
    </w:p>
    <w:p w:rsidR="00BA0A8A" w:rsidRPr="005D523E" w:rsidRDefault="00BA0A8A" w:rsidP="00786E09">
      <w:pPr>
        <w:pStyle w:val="Paragraphedeliste"/>
        <w:widowControl w:val="0"/>
        <w:numPr>
          <w:ilvl w:val="0"/>
          <w:numId w:val="10"/>
        </w:numPr>
        <w:tabs>
          <w:tab w:val="left" w:pos="1597"/>
        </w:tabs>
        <w:autoSpaceDE w:val="0"/>
        <w:autoSpaceDN w:val="0"/>
        <w:spacing w:after="0" w:line="240" w:lineRule="auto"/>
        <w:ind w:left="284" w:right="1392" w:hanging="284"/>
        <w:jc w:val="both"/>
        <w:rPr>
          <w:w w:val="95"/>
          <w:sz w:val="24"/>
          <w:szCs w:val="24"/>
        </w:rPr>
      </w:pPr>
      <w:r w:rsidRPr="005D523E">
        <w:rPr>
          <w:sz w:val="24"/>
          <w:szCs w:val="24"/>
        </w:rPr>
        <w:t>L’augmentation de la prévalence aux différentes maladies</w:t>
      </w:r>
    </w:p>
    <w:p w:rsidR="00BA0A8A" w:rsidRPr="005D523E" w:rsidRDefault="00BA0A8A" w:rsidP="00786E09">
      <w:pPr>
        <w:pStyle w:val="Paragraphedeliste"/>
        <w:widowControl w:val="0"/>
        <w:numPr>
          <w:ilvl w:val="0"/>
          <w:numId w:val="10"/>
        </w:numPr>
        <w:tabs>
          <w:tab w:val="left" w:pos="1597"/>
        </w:tabs>
        <w:autoSpaceDE w:val="0"/>
        <w:autoSpaceDN w:val="0"/>
        <w:spacing w:after="0" w:line="240" w:lineRule="auto"/>
        <w:ind w:left="284" w:right="1392" w:hanging="284"/>
        <w:jc w:val="both"/>
        <w:rPr>
          <w:sz w:val="24"/>
          <w:szCs w:val="24"/>
        </w:rPr>
      </w:pPr>
      <w:r w:rsidRPr="005D523E">
        <w:rPr>
          <w:w w:val="95"/>
          <w:sz w:val="24"/>
          <w:szCs w:val="24"/>
        </w:rPr>
        <w:t xml:space="preserve">La croissance de la population ivoirienne et l’accès aux soins </w:t>
      </w:r>
    </w:p>
    <w:p w:rsidR="00BA0A8A" w:rsidRPr="005D523E" w:rsidRDefault="00BA0A8A" w:rsidP="00786E09">
      <w:pPr>
        <w:pStyle w:val="Corpsdetexte"/>
        <w:numPr>
          <w:ilvl w:val="0"/>
          <w:numId w:val="10"/>
        </w:numPr>
        <w:ind w:left="284" w:right="1393" w:hanging="284"/>
        <w:jc w:val="both"/>
        <w:rPr>
          <w:rFonts w:asciiTheme="minorHAnsi" w:hAnsiTheme="minorHAnsi"/>
        </w:rPr>
      </w:pPr>
      <w:r w:rsidRPr="005D523E">
        <w:rPr>
          <w:rFonts w:asciiTheme="minorHAnsi" w:hAnsiTheme="minorHAnsi"/>
        </w:rPr>
        <w:t>L’accès aux pays enclavés (Burkina Faso, Mali, Niger…)</w:t>
      </w:r>
    </w:p>
    <w:p w:rsidR="00BA0A8A" w:rsidRDefault="00BA0A8A" w:rsidP="00B00567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:rsidR="00360E6C" w:rsidRPr="00B630D5" w:rsidRDefault="00360E6C" w:rsidP="00B630D5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FR"/>
        </w:rPr>
      </w:pPr>
      <w:r w:rsidRPr="00B630D5">
        <w:rPr>
          <w:rFonts w:cstheme="minorHAnsi"/>
          <w:b/>
          <w:bCs/>
          <w:sz w:val="24"/>
          <w:szCs w:val="24"/>
          <w:u w:val="single"/>
        </w:rPr>
        <w:t xml:space="preserve">Réglementation </w:t>
      </w:r>
      <w:r w:rsidR="000C7DB6" w:rsidRPr="00B630D5">
        <w:rPr>
          <w:rFonts w:cstheme="minorHAnsi"/>
          <w:b/>
          <w:bCs/>
          <w:sz w:val="24"/>
          <w:szCs w:val="24"/>
          <w:u w:val="single"/>
        </w:rPr>
        <w:t>juridique</w:t>
      </w:r>
    </w:p>
    <w:p w:rsidR="00BA0A8A" w:rsidRPr="00B630D5" w:rsidRDefault="00360E6C" w:rsidP="00D9203E">
      <w:pPr>
        <w:spacing w:after="0" w:line="240" w:lineRule="auto"/>
        <w:jc w:val="both"/>
        <w:rPr>
          <w:sz w:val="24"/>
          <w:szCs w:val="24"/>
        </w:rPr>
      </w:pPr>
      <w:r w:rsidRPr="00B630D5">
        <w:rPr>
          <w:sz w:val="24"/>
          <w:szCs w:val="24"/>
        </w:rPr>
        <w:t xml:space="preserve">Les différents processus qui concernent l’approvisionnement pharmaceutique sont encadrés par la loi N° 2015- 533 du 20 </w:t>
      </w:r>
      <w:r w:rsidR="00D9203E">
        <w:rPr>
          <w:sz w:val="24"/>
          <w:szCs w:val="24"/>
        </w:rPr>
        <w:t>j</w:t>
      </w:r>
      <w:r w:rsidRPr="00B630D5">
        <w:rPr>
          <w:sz w:val="24"/>
          <w:szCs w:val="24"/>
        </w:rPr>
        <w:t>uillet 2015. D’autres décrets et arrêts ministériels régissent les conditions de fixation des prix, de création et détention d’une structure d‘approvisionnement et distribution, de contrôle à l’importation…</w:t>
      </w:r>
    </w:p>
    <w:p w:rsidR="00360E6C" w:rsidRPr="00B37CAD" w:rsidRDefault="00360E6C" w:rsidP="00360E6C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fr-FR"/>
        </w:rPr>
      </w:pPr>
    </w:p>
    <w:p w:rsidR="002A7B93" w:rsidRDefault="00B31E4F" w:rsidP="002A7B93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fr-FR"/>
        </w:rPr>
      </w:pPr>
      <w:r w:rsidRPr="00B37CAD">
        <w:rPr>
          <w:rFonts w:cstheme="minorHAnsi"/>
          <w:b/>
          <w:bCs/>
          <w:sz w:val="24"/>
          <w:szCs w:val="24"/>
          <w:u w:val="single"/>
        </w:rPr>
        <w:t>Réglementation douanière</w:t>
      </w:r>
    </w:p>
    <w:p w:rsidR="00B31E4F" w:rsidRPr="002A7B93" w:rsidRDefault="000F08B0" w:rsidP="00827A44">
      <w:pPr>
        <w:pStyle w:val="Paragraphedeliste"/>
        <w:numPr>
          <w:ilvl w:val="0"/>
          <w:numId w:val="23"/>
        </w:numPr>
        <w:spacing w:after="0" w:line="240" w:lineRule="auto"/>
        <w:ind w:left="284" w:hanging="284"/>
        <w:rPr>
          <w:rFonts w:cstheme="minorHAnsi"/>
          <w:b/>
          <w:bCs/>
          <w:sz w:val="24"/>
          <w:szCs w:val="24"/>
          <w:u w:val="single"/>
          <w:lang w:val="fr-FR"/>
        </w:rPr>
      </w:pPr>
      <w:r w:rsidRPr="002A7B93">
        <w:rPr>
          <w:rFonts w:cstheme="minorHAnsi"/>
          <w:bCs/>
          <w:sz w:val="24"/>
          <w:szCs w:val="24"/>
          <w:lang w:val="fr-FR"/>
        </w:rPr>
        <w:t>Position tarifaire / médicaments : chapitre 30/21 familles de produits</w:t>
      </w:r>
    </w:p>
    <w:p w:rsidR="00B31E4F" w:rsidRPr="00827A44" w:rsidRDefault="00BC19D3" w:rsidP="00827A44">
      <w:pPr>
        <w:pStyle w:val="Paragraphedeliste"/>
        <w:numPr>
          <w:ilvl w:val="2"/>
          <w:numId w:val="23"/>
        </w:numPr>
        <w:spacing w:after="0" w:line="240" w:lineRule="auto"/>
        <w:ind w:left="567" w:hanging="283"/>
        <w:rPr>
          <w:rFonts w:cstheme="minorHAnsi"/>
          <w:bCs/>
          <w:sz w:val="24"/>
          <w:szCs w:val="24"/>
          <w:lang w:val="fr-FR"/>
        </w:rPr>
      </w:pPr>
      <w:r w:rsidRPr="00827A44">
        <w:rPr>
          <w:rFonts w:cstheme="minorHAnsi"/>
          <w:bCs/>
          <w:sz w:val="24"/>
          <w:szCs w:val="24"/>
          <w:lang w:val="fr-FR"/>
        </w:rPr>
        <w:t>Taux de d</w:t>
      </w:r>
      <w:r w:rsidR="00B31E4F" w:rsidRPr="00827A44">
        <w:rPr>
          <w:rFonts w:cstheme="minorHAnsi"/>
          <w:bCs/>
          <w:sz w:val="24"/>
          <w:szCs w:val="24"/>
          <w:lang w:val="fr-FR"/>
        </w:rPr>
        <w:t xml:space="preserve">roit de douane appliqué : 0% </w:t>
      </w:r>
      <w:r w:rsidR="00D156A1" w:rsidRPr="00827A44">
        <w:rPr>
          <w:rFonts w:cstheme="minorHAnsi"/>
          <w:bCs/>
          <w:sz w:val="24"/>
          <w:szCs w:val="24"/>
          <w:lang w:val="fr-FR"/>
        </w:rPr>
        <w:t xml:space="preserve">/ TVA : 0% </w:t>
      </w:r>
      <w:r w:rsidR="00B31E4F" w:rsidRPr="00827A44">
        <w:rPr>
          <w:rFonts w:cstheme="minorHAnsi"/>
          <w:bCs/>
          <w:sz w:val="24"/>
          <w:szCs w:val="24"/>
          <w:lang w:val="fr-FR"/>
        </w:rPr>
        <w:t>(quelque soit le pays d’origine)</w:t>
      </w:r>
    </w:p>
    <w:p w:rsidR="00827A44" w:rsidRDefault="002A7B93" w:rsidP="00827A44">
      <w:pPr>
        <w:pStyle w:val="Paragraphedeliste"/>
        <w:numPr>
          <w:ilvl w:val="0"/>
          <w:numId w:val="23"/>
        </w:numPr>
        <w:spacing w:after="0" w:line="240" w:lineRule="auto"/>
        <w:ind w:left="284" w:hanging="284"/>
        <w:rPr>
          <w:rFonts w:cstheme="minorHAnsi"/>
          <w:bCs/>
          <w:sz w:val="24"/>
          <w:szCs w:val="24"/>
          <w:lang w:val="fr-FR"/>
        </w:rPr>
      </w:pPr>
      <w:r w:rsidRPr="00D156A1">
        <w:rPr>
          <w:rFonts w:cstheme="minorHAnsi"/>
          <w:bCs/>
          <w:sz w:val="24"/>
          <w:szCs w:val="24"/>
          <w:lang w:val="fr-FR"/>
        </w:rPr>
        <w:t>Les dispositifs et consommables médica</w:t>
      </w:r>
      <w:r w:rsidR="00D9203E">
        <w:rPr>
          <w:rFonts w:cstheme="minorHAnsi"/>
          <w:bCs/>
          <w:sz w:val="24"/>
          <w:szCs w:val="24"/>
          <w:lang w:val="fr-FR"/>
        </w:rPr>
        <w:t>ux</w:t>
      </w:r>
      <w:r w:rsidRPr="00D156A1">
        <w:rPr>
          <w:rFonts w:cstheme="minorHAnsi"/>
          <w:bCs/>
          <w:sz w:val="24"/>
          <w:szCs w:val="24"/>
          <w:lang w:val="fr-FR"/>
        </w:rPr>
        <w:t> : position tarifaire dépend de l</w:t>
      </w:r>
      <w:r w:rsidR="00D156A1" w:rsidRPr="00D156A1">
        <w:rPr>
          <w:rFonts w:cstheme="minorHAnsi"/>
          <w:bCs/>
          <w:sz w:val="24"/>
          <w:szCs w:val="24"/>
          <w:lang w:val="fr-FR"/>
        </w:rPr>
        <w:t>a matière de base du produit et de son utilisation</w:t>
      </w:r>
    </w:p>
    <w:p w:rsidR="002A7B93" w:rsidRPr="00827A44" w:rsidRDefault="00D156A1" w:rsidP="00827A44">
      <w:pPr>
        <w:pStyle w:val="Paragraphedeliste"/>
        <w:numPr>
          <w:ilvl w:val="1"/>
          <w:numId w:val="23"/>
        </w:numPr>
        <w:spacing w:after="0" w:line="240" w:lineRule="auto"/>
        <w:ind w:left="567" w:hanging="283"/>
        <w:rPr>
          <w:rFonts w:cstheme="minorHAnsi"/>
          <w:bCs/>
          <w:sz w:val="24"/>
          <w:szCs w:val="24"/>
          <w:lang w:val="fr-FR"/>
        </w:rPr>
      </w:pPr>
      <w:r w:rsidRPr="00827A44">
        <w:rPr>
          <w:rFonts w:cstheme="minorHAnsi"/>
          <w:bCs/>
          <w:sz w:val="24"/>
          <w:szCs w:val="24"/>
          <w:lang w:val="fr-FR"/>
        </w:rPr>
        <w:t>Taux de droit de douane moyen appliqué : 5 % /TVA : 18%</w:t>
      </w:r>
    </w:p>
    <w:p w:rsidR="00B54198" w:rsidRDefault="00B54198" w:rsidP="00D156A1">
      <w:pPr>
        <w:pStyle w:val="Paragraphedeliste"/>
        <w:spacing w:after="0" w:line="240" w:lineRule="auto"/>
        <w:jc w:val="both"/>
        <w:rPr>
          <w:rFonts w:cstheme="minorHAnsi"/>
          <w:bCs/>
          <w:sz w:val="24"/>
          <w:szCs w:val="24"/>
          <w:lang w:val="fr-FR"/>
        </w:rPr>
      </w:pPr>
    </w:p>
    <w:p w:rsidR="00B54198" w:rsidRDefault="00B54198" w:rsidP="00D156A1">
      <w:pPr>
        <w:pStyle w:val="Paragraphedeliste"/>
        <w:spacing w:after="0" w:line="240" w:lineRule="auto"/>
        <w:jc w:val="both"/>
        <w:rPr>
          <w:rFonts w:cstheme="minorHAnsi"/>
          <w:bCs/>
          <w:sz w:val="24"/>
          <w:szCs w:val="24"/>
          <w:lang w:val="fr-FR"/>
        </w:rPr>
      </w:pPr>
    </w:p>
    <w:p w:rsidR="0028078D" w:rsidRDefault="007403E7" w:rsidP="00C01F29">
      <w:pPr>
        <w:rPr>
          <w:b/>
          <w:bCs/>
          <w:sz w:val="24"/>
          <w:szCs w:val="24"/>
          <w:lang w:val="fr-FR"/>
        </w:rPr>
      </w:pPr>
      <w:r w:rsidRPr="007403E7">
        <w:rPr>
          <w:b/>
          <w:bCs/>
          <w:sz w:val="24"/>
          <w:szCs w:val="24"/>
        </w:rPr>
        <w:t xml:space="preserve">N'hésitez pas </w:t>
      </w:r>
      <w:r w:rsidR="00723AE9">
        <w:rPr>
          <w:b/>
          <w:bCs/>
          <w:sz w:val="24"/>
          <w:szCs w:val="24"/>
        </w:rPr>
        <w:t>de</w:t>
      </w:r>
      <w:r w:rsidRPr="007403E7">
        <w:rPr>
          <w:b/>
          <w:bCs/>
          <w:sz w:val="24"/>
          <w:szCs w:val="24"/>
        </w:rPr>
        <w:t xml:space="preserve"> contacter </w:t>
      </w:r>
      <w:r w:rsidR="002F0FF9" w:rsidRPr="007403E7">
        <w:rPr>
          <w:b/>
          <w:bCs/>
          <w:sz w:val="24"/>
          <w:szCs w:val="24"/>
        </w:rPr>
        <w:t>votre RCT</w:t>
      </w:r>
      <w:r w:rsidRPr="007403E7">
        <w:rPr>
          <w:b/>
          <w:bCs/>
          <w:sz w:val="24"/>
          <w:szCs w:val="24"/>
        </w:rPr>
        <w:t xml:space="preserve"> à Abidjan</w:t>
      </w:r>
      <w:r w:rsidR="002F0FF9" w:rsidRPr="007403E7">
        <w:rPr>
          <w:b/>
          <w:bCs/>
          <w:sz w:val="24"/>
          <w:szCs w:val="24"/>
        </w:rPr>
        <w:t xml:space="preserve"> pour plus d'informations</w:t>
      </w:r>
    </w:p>
    <w:sectPr w:rsidR="0028078D" w:rsidSect="009B20F4">
      <w:headerReference w:type="default" r:id="rId14"/>
      <w:footerReference w:type="default" r:id="rId15"/>
      <w:pgSz w:w="11906" w:h="16838"/>
      <w:pgMar w:top="1417" w:right="1417" w:bottom="1417" w:left="1417" w:header="708" w:footer="5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C62" w:rsidRDefault="00D80C62" w:rsidP="00363FDC">
      <w:pPr>
        <w:spacing w:after="0" w:line="240" w:lineRule="auto"/>
      </w:pPr>
      <w:r>
        <w:separator/>
      </w:r>
    </w:p>
  </w:endnote>
  <w:endnote w:type="continuationSeparator" w:id="1">
    <w:p w:rsidR="00D80C62" w:rsidRDefault="00D80C62" w:rsidP="00363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B93" w:rsidRPr="009B20F4" w:rsidRDefault="002A7B93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>[</w:t>
    </w:r>
    <w:sdt>
      <w:sdtPr>
        <w:rPr>
          <w:sz w:val="18"/>
          <w:szCs w:val="18"/>
        </w:rPr>
        <w:id w:val="1033924052"/>
        <w:docPartObj>
          <w:docPartGallery w:val="Page Numbers (Bottom of Page)"/>
          <w:docPartUnique/>
        </w:docPartObj>
      </w:sdtPr>
      <w:sdtContent>
        <w:r w:rsidR="00F01364" w:rsidRPr="009B20F4">
          <w:rPr>
            <w:sz w:val="18"/>
            <w:szCs w:val="18"/>
          </w:rPr>
          <w:fldChar w:fldCharType="begin"/>
        </w:r>
        <w:r w:rsidRPr="009B20F4">
          <w:rPr>
            <w:sz w:val="18"/>
            <w:szCs w:val="18"/>
          </w:rPr>
          <w:instrText>PAGE   \* MERGEFORMAT</w:instrText>
        </w:r>
        <w:r w:rsidR="00F01364" w:rsidRPr="009B20F4">
          <w:rPr>
            <w:sz w:val="18"/>
            <w:szCs w:val="18"/>
          </w:rPr>
          <w:fldChar w:fldCharType="separate"/>
        </w:r>
        <w:r w:rsidR="00FE426C" w:rsidRPr="00FE426C">
          <w:rPr>
            <w:noProof/>
            <w:sz w:val="18"/>
            <w:szCs w:val="18"/>
            <w:lang w:val="de-DE"/>
          </w:rPr>
          <w:t>4</w:t>
        </w:r>
        <w:r w:rsidR="00F01364" w:rsidRPr="009B20F4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>]</w:t>
        </w:r>
      </w:sdtContent>
    </w:sdt>
  </w:p>
  <w:p w:rsidR="002A7B93" w:rsidRPr="009B20F4" w:rsidRDefault="002A7B93">
    <w:pPr>
      <w:pStyle w:val="Pieddepage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C62" w:rsidRDefault="00D80C62" w:rsidP="00363FDC">
      <w:pPr>
        <w:spacing w:after="0" w:line="240" w:lineRule="auto"/>
      </w:pPr>
      <w:r>
        <w:separator/>
      </w:r>
    </w:p>
  </w:footnote>
  <w:footnote w:type="continuationSeparator" w:id="1">
    <w:p w:rsidR="00D80C62" w:rsidRDefault="00D80C62" w:rsidP="00363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B93" w:rsidRDefault="002A7B93" w:rsidP="005E0843">
    <w:pPr>
      <w:pStyle w:val="En-tte"/>
      <w:tabs>
        <w:tab w:val="clear" w:pos="9072"/>
        <w:tab w:val="left" w:pos="4980"/>
      </w:tabs>
      <w:jc w:val="right"/>
    </w:pPr>
  </w:p>
  <w:p w:rsidR="002A7B93" w:rsidRDefault="002A7B93" w:rsidP="005E0843">
    <w:pPr>
      <w:pStyle w:val="En-tte"/>
      <w:tabs>
        <w:tab w:val="clear" w:pos="9072"/>
        <w:tab w:val="left" w:pos="4980"/>
      </w:tabs>
      <w:jc w:val="right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148D"/>
    <w:multiLevelType w:val="hybridMultilevel"/>
    <w:tmpl w:val="E4C62486"/>
    <w:lvl w:ilvl="0" w:tplc="FB8AA98C">
      <w:start w:val="5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10F2B"/>
    <w:multiLevelType w:val="hybridMultilevel"/>
    <w:tmpl w:val="0CEABC9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BF24C7"/>
    <w:multiLevelType w:val="hybridMultilevel"/>
    <w:tmpl w:val="3AA665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95AB5"/>
    <w:multiLevelType w:val="hybridMultilevel"/>
    <w:tmpl w:val="E3E8D2A2"/>
    <w:lvl w:ilvl="0" w:tplc="425085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24363"/>
    <w:multiLevelType w:val="hybridMultilevel"/>
    <w:tmpl w:val="35F43F46"/>
    <w:lvl w:ilvl="0" w:tplc="7B74B6EC">
      <w:start w:val="18"/>
      <w:numFmt w:val="bullet"/>
      <w:lvlText w:val="─"/>
      <w:lvlJc w:val="left"/>
      <w:pPr>
        <w:ind w:left="720" w:hanging="360"/>
      </w:pPr>
      <w:rPr>
        <w:rFonts w:ascii="Calibri Light" w:eastAsiaTheme="minorHAnsi" w:hAnsi="Calibri Light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A17B0"/>
    <w:multiLevelType w:val="hybridMultilevel"/>
    <w:tmpl w:val="9036CD3A"/>
    <w:lvl w:ilvl="0" w:tplc="DA22F2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64C05"/>
    <w:multiLevelType w:val="hybridMultilevel"/>
    <w:tmpl w:val="64C44854"/>
    <w:lvl w:ilvl="0" w:tplc="7B74B6EC">
      <w:start w:val="18"/>
      <w:numFmt w:val="bullet"/>
      <w:lvlText w:val="─"/>
      <w:lvlJc w:val="left"/>
      <w:pPr>
        <w:ind w:left="720" w:hanging="360"/>
      </w:pPr>
      <w:rPr>
        <w:rFonts w:ascii="Calibri Light" w:eastAsiaTheme="minorHAnsi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7003E"/>
    <w:multiLevelType w:val="hybridMultilevel"/>
    <w:tmpl w:val="BD70E64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0F6F61"/>
    <w:multiLevelType w:val="hybridMultilevel"/>
    <w:tmpl w:val="B8063F5C"/>
    <w:lvl w:ilvl="0" w:tplc="7B74B6EC">
      <w:start w:val="18"/>
      <w:numFmt w:val="bullet"/>
      <w:lvlText w:val="─"/>
      <w:lvlJc w:val="left"/>
      <w:pPr>
        <w:ind w:left="720" w:hanging="360"/>
      </w:pPr>
      <w:rPr>
        <w:rFonts w:ascii="Calibri Light" w:eastAsiaTheme="minorHAnsi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E0503"/>
    <w:multiLevelType w:val="hybridMultilevel"/>
    <w:tmpl w:val="D77438CC"/>
    <w:lvl w:ilvl="0" w:tplc="7B74B6EC">
      <w:start w:val="18"/>
      <w:numFmt w:val="bullet"/>
      <w:lvlText w:val="─"/>
      <w:lvlJc w:val="left"/>
      <w:pPr>
        <w:ind w:left="720" w:hanging="360"/>
      </w:pPr>
      <w:rPr>
        <w:rFonts w:ascii="Calibri Light" w:eastAsiaTheme="minorHAnsi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74B6EC">
      <w:start w:val="18"/>
      <w:numFmt w:val="bullet"/>
      <w:lvlText w:val="─"/>
      <w:lvlJc w:val="left"/>
      <w:pPr>
        <w:ind w:left="2160" w:hanging="360"/>
      </w:pPr>
      <w:rPr>
        <w:rFonts w:ascii="Calibri Light" w:eastAsiaTheme="minorHAnsi" w:hAnsi="Calibri Light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80180"/>
    <w:multiLevelType w:val="hybridMultilevel"/>
    <w:tmpl w:val="8D8CBC1C"/>
    <w:lvl w:ilvl="0" w:tplc="7B74B6EC">
      <w:start w:val="18"/>
      <w:numFmt w:val="bullet"/>
      <w:lvlText w:val="─"/>
      <w:lvlJc w:val="left"/>
      <w:pPr>
        <w:ind w:left="720" w:hanging="360"/>
      </w:pPr>
      <w:rPr>
        <w:rFonts w:ascii="Calibri Light" w:eastAsiaTheme="minorHAnsi" w:hAnsi="Calibri Light" w:hint="default"/>
        <w:w w:val="1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70862"/>
    <w:multiLevelType w:val="hybridMultilevel"/>
    <w:tmpl w:val="A724A6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D2CD5"/>
    <w:multiLevelType w:val="hybridMultilevel"/>
    <w:tmpl w:val="B038E840"/>
    <w:lvl w:ilvl="0" w:tplc="7B74B6EC">
      <w:start w:val="18"/>
      <w:numFmt w:val="bullet"/>
      <w:lvlText w:val="─"/>
      <w:lvlJc w:val="left"/>
      <w:pPr>
        <w:ind w:left="786" w:hanging="360"/>
      </w:pPr>
      <w:rPr>
        <w:rFonts w:ascii="Calibri Light" w:eastAsiaTheme="minorHAnsi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156CF"/>
    <w:multiLevelType w:val="hybridMultilevel"/>
    <w:tmpl w:val="16AC34EA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C7730A9"/>
    <w:multiLevelType w:val="hybridMultilevel"/>
    <w:tmpl w:val="8E0837AA"/>
    <w:lvl w:ilvl="0" w:tplc="C2A01FF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w w:val="1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D77ED"/>
    <w:multiLevelType w:val="hybridMultilevel"/>
    <w:tmpl w:val="2C1C80FC"/>
    <w:lvl w:ilvl="0" w:tplc="7B74B6EC">
      <w:start w:val="18"/>
      <w:numFmt w:val="bullet"/>
      <w:lvlText w:val="─"/>
      <w:lvlJc w:val="left"/>
      <w:pPr>
        <w:ind w:left="1534" w:hanging="360"/>
      </w:pPr>
      <w:rPr>
        <w:rFonts w:ascii="Calibri Light" w:eastAsiaTheme="minorHAnsi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6">
    <w:nsid w:val="68183079"/>
    <w:multiLevelType w:val="hybridMultilevel"/>
    <w:tmpl w:val="C4F6B060"/>
    <w:lvl w:ilvl="0" w:tplc="7B74B6EC">
      <w:start w:val="18"/>
      <w:numFmt w:val="bullet"/>
      <w:lvlText w:val="─"/>
      <w:lvlJc w:val="left"/>
      <w:pPr>
        <w:ind w:left="360" w:hanging="360"/>
      </w:pPr>
      <w:rPr>
        <w:rFonts w:ascii="Calibri Light" w:eastAsiaTheme="minorHAnsi" w:hAnsi="Calibri Ligh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1C1F25"/>
    <w:multiLevelType w:val="hybridMultilevel"/>
    <w:tmpl w:val="05E68C0A"/>
    <w:lvl w:ilvl="0" w:tplc="7B74B6EC">
      <w:start w:val="18"/>
      <w:numFmt w:val="bullet"/>
      <w:lvlText w:val="─"/>
      <w:lvlJc w:val="left"/>
      <w:pPr>
        <w:ind w:left="720" w:hanging="360"/>
      </w:pPr>
      <w:rPr>
        <w:rFonts w:ascii="Calibri Light" w:eastAsiaTheme="minorHAnsi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C2BD8"/>
    <w:multiLevelType w:val="hybridMultilevel"/>
    <w:tmpl w:val="271E2E9C"/>
    <w:lvl w:ilvl="0" w:tplc="FD3C74B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3439FD"/>
    <w:multiLevelType w:val="hybridMultilevel"/>
    <w:tmpl w:val="B0C0599E"/>
    <w:lvl w:ilvl="0" w:tplc="7B74B6EC">
      <w:start w:val="18"/>
      <w:numFmt w:val="bullet"/>
      <w:lvlText w:val="─"/>
      <w:lvlJc w:val="left"/>
      <w:pPr>
        <w:ind w:left="720" w:hanging="360"/>
      </w:pPr>
      <w:rPr>
        <w:rFonts w:ascii="Calibri Light" w:eastAsiaTheme="minorHAnsi" w:hAnsi="Calibri Light" w:hint="default"/>
      </w:rPr>
    </w:lvl>
    <w:lvl w:ilvl="1" w:tplc="43FEBC6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color="00800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6B3EC6"/>
    <w:multiLevelType w:val="hybridMultilevel"/>
    <w:tmpl w:val="3294C3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7856B7"/>
    <w:multiLevelType w:val="hybridMultilevel"/>
    <w:tmpl w:val="BCD8611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D16E9B"/>
    <w:multiLevelType w:val="hybridMultilevel"/>
    <w:tmpl w:val="AB2A0278"/>
    <w:lvl w:ilvl="0" w:tplc="7B74B6EC">
      <w:start w:val="18"/>
      <w:numFmt w:val="bullet"/>
      <w:lvlText w:val="─"/>
      <w:lvlJc w:val="left"/>
      <w:pPr>
        <w:ind w:left="360" w:hanging="360"/>
      </w:pPr>
      <w:rPr>
        <w:rFonts w:ascii="Calibri Light" w:eastAsiaTheme="minorHAnsi" w:hAnsi="Calibri Light" w:hint="default"/>
        <w:color w:val="auto"/>
      </w:rPr>
    </w:lvl>
    <w:lvl w:ilvl="1" w:tplc="3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1"/>
  </w:num>
  <w:num w:numId="4">
    <w:abstractNumId w:val="5"/>
  </w:num>
  <w:num w:numId="5">
    <w:abstractNumId w:val="16"/>
  </w:num>
  <w:num w:numId="6">
    <w:abstractNumId w:val="20"/>
  </w:num>
  <w:num w:numId="7">
    <w:abstractNumId w:val="12"/>
  </w:num>
  <w:num w:numId="8">
    <w:abstractNumId w:val="13"/>
  </w:num>
  <w:num w:numId="9">
    <w:abstractNumId w:val="21"/>
  </w:num>
  <w:num w:numId="10">
    <w:abstractNumId w:val="4"/>
  </w:num>
  <w:num w:numId="11">
    <w:abstractNumId w:val="0"/>
  </w:num>
  <w:num w:numId="12">
    <w:abstractNumId w:val="7"/>
  </w:num>
  <w:num w:numId="13">
    <w:abstractNumId w:val="8"/>
  </w:num>
  <w:num w:numId="14">
    <w:abstractNumId w:val="15"/>
  </w:num>
  <w:num w:numId="15">
    <w:abstractNumId w:val="17"/>
  </w:num>
  <w:num w:numId="16">
    <w:abstractNumId w:val="18"/>
  </w:num>
  <w:num w:numId="17">
    <w:abstractNumId w:val="14"/>
  </w:num>
  <w:num w:numId="18">
    <w:abstractNumId w:val="1"/>
  </w:num>
  <w:num w:numId="19">
    <w:abstractNumId w:val="2"/>
  </w:num>
  <w:num w:numId="20">
    <w:abstractNumId w:val="10"/>
  </w:num>
  <w:num w:numId="21">
    <w:abstractNumId w:val="6"/>
  </w:num>
  <w:num w:numId="22">
    <w:abstractNumId w:val="9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B1EB3"/>
    <w:rsid w:val="00000958"/>
    <w:rsid w:val="000137C7"/>
    <w:rsid w:val="000155D2"/>
    <w:rsid w:val="00020C39"/>
    <w:rsid w:val="00044FCD"/>
    <w:rsid w:val="00052C22"/>
    <w:rsid w:val="00056249"/>
    <w:rsid w:val="00073350"/>
    <w:rsid w:val="00074FAD"/>
    <w:rsid w:val="000806B1"/>
    <w:rsid w:val="0008358F"/>
    <w:rsid w:val="00090BEC"/>
    <w:rsid w:val="000A1E0E"/>
    <w:rsid w:val="000A2037"/>
    <w:rsid w:val="000B191D"/>
    <w:rsid w:val="000B5A39"/>
    <w:rsid w:val="000C7DB6"/>
    <w:rsid w:val="000D78CD"/>
    <w:rsid w:val="000E7CB0"/>
    <w:rsid w:val="000F04D8"/>
    <w:rsid w:val="000F08B0"/>
    <w:rsid w:val="000F191A"/>
    <w:rsid w:val="000F34F5"/>
    <w:rsid w:val="000F6C47"/>
    <w:rsid w:val="000F7894"/>
    <w:rsid w:val="001069A3"/>
    <w:rsid w:val="00111C54"/>
    <w:rsid w:val="001517A3"/>
    <w:rsid w:val="00151D0A"/>
    <w:rsid w:val="00166E34"/>
    <w:rsid w:val="00174B92"/>
    <w:rsid w:val="001767DB"/>
    <w:rsid w:val="001828B4"/>
    <w:rsid w:val="0018614E"/>
    <w:rsid w:val="00186A20"/>
    <w:rsid w:val="001933D4"/>
    <w:rsid w:val="001B1521"/>
    <w:rsid w:val="001B5FB8"/>
    <w:rsid w:val="001B709A"/>
    <w:rsid w:val="001C464E"/>
    <w:rsid w:val="001E2D8D"/>
    <w:rsid w:val="001E4A42"/>
    <w:rsid w:val="001E71F3"/>
    <w:rsid w:val="001F07C2"/>
    <w:rsid w:val="001F29C5"/>
    <w:rsid w:val="00214020"/>
    <w:rsid w:val="00232897"/>
    <w:rsid w:val="00247095"/>
    <w:rsid w:val="00251504"/>
    <w:rsid w:val="002561A0"/>
    <w:rsid w:val="00261EC9"/>
    <w:rsid w:val="00276C3B"/>
    <w:rsid w:val="0028078D"/>
    <w:rsid w:val="00280E15"/>
    <w:rsid w:val="00291BA4"/>
    <w:rsid w:val="002A7B93"/>
    <w:rsid w:val="002B1EB3"/>
    <w:rsid w:val="002C2E9A"/>
    <w:rsid w:val="002D1151"/>
    <w:rsid w:val="002F0FF9"/>
    <w:rsid w:val="002F182E"/>
    <w:rsid w:val="002F46BF"/>
    <w:rsid w:val="003079F6"/>
    <w:rsid w:val="00320739"/>
    <w:rsid w:val="003252DE"/>
    <w:rsid w:val="003304B3"/>
    <w:rsid w:val="003456C3"/>
    <w:rsid w:val="00360E6C"/>
    <w:rsid w:val="00363FDC"/>
    <w:rsid w:val="003640DF"/>
    <w:rsid w:val="003661F6"/>
    <w:rsid w:val="003771F3"/>
    <w:rsid w:val="003868F5"/>
    <w:rsid w:val="00387B61"/>
    <w:rsid w:val="00393672"/>
    <w:rsid w:val="003D0A7C"/>
    <w:rsid w:val="003E0CF7"/>
    <w:rsid w:val="003E3963"/>
    <w:rsid w:val="004024DD"/>
    <w:rsid w:val="00424C01"/>
    <w:rsid w:val="004517DD"/>
    <w:rsid w:val="0045575A"/>
    <w:rsid w:val="00465673"/>
    <w:rsid w:val="0047529C"/>
    <w:rsid w:val="004A7427"/>
    <w:rsid w:val="004C0690"/>
    <w:rsid w:val="004C33B6"/>
    <w:rsid w:val="004D25D6"/>
    <w:rsid w:val="004D2E7E"/>
    <w:rsid w:val="005112D3"/>
    <w:rsid w:val="0051677B"/>
    <w:rsid w:val="0052566A"/>
    <w:rsid w:val="00533478"/>
    <w:rsid w:val="005505BA"/>
    <w:rsid w:val="00550939"/>
    <w:rsid w:val="00551322"/>
    <w:rsid w:val="00553014"/>
    <w:rsid w:val="00555685"/>
    <w:rsid w:val="00560886"/>
    <w:rsid w:val="00587550"/>
    <w:rsid w:val="005877A2"/>
    <w:rsid w:val="005D034D"/>
    <w:rsid w:val="005D1690"/>
    <w:rsid w:val="005D2CCE"/>
    <w:rsid w:val="005D523E"/>
    <w:rsid w:val="005E0843"/>
    <w:rsid w:val="005E2CE1"/>
    <w:rsid w:val="005E54DB"/>
    <w:rsid w:val="005F1015"/>
    <w:rsid w:val="005F5252"/>
    <w:rsid w:val="006004A3"/>
    <w:rsid w:val="00600764"/>
    <w:rsid w:val="00602CC4"/>
    <w:rsid w:val="006063DC"/>
    <w:rsid w:val="00621D46"/>
    <w:rsid w:val="006256A3"/>
    <w:rsid w:val="00641A04"/>
    <w:rsid w:val="0064526D"/>
    <w:rsid w:val="00650E1A"/>
    <w:rsid w:val="0065467A"/>
    <w:rsid w:val="0066072B"/>
    <w:rsid w:val="0066372B"/>
    <w:rsid w:val="00672994"/>
    <w:rsid w:val="0068040E"/>
    <w:rsid w:val="006A1687"/>
    <w:rsid w:val="006B0992"/>
    <w:rsid w:val="006B7E0B"/>
    <w:rsid w:val="007033B4"/>
    <w:rsid w:val="00712E4D"/>
    <w:rsid w:val="00713A47"/>
    <w:rsid w:val="00723078"/>
    <w:rsid w:val="00723AE9"/>
    <w:rsid w:val="00732483"/>
    <w:rsid w:val="007358E3"/>
    <w:rsid w:val="007403E7"/>
    <w:rsid w:val="00746EDA"/>
    <w:rsid w:val="007508C7"/>
    <w:rsid w:val="00752D68"/>
    <w:rsid w:val="00786E09"/>
    <w:rsid w:val="0079694B"/>
    <w:rsid w:val="00797B73"/>
    <w:rsid w:val="007A3C38"/>
    <w:rsid w:val="007B54D3"/>
    <w:rsid w:val="007B6C51"/>
    <w:rsid w:val="007C10FB"/>
    <w:rsid w:val="007D2499"/>
    <w:rsid w:val="007F458B"/>
    <w:rsid w:val="007F4DD9"/>
    <w:rsid w:val="007F5D30"/>
    <w:rsid w:val="007F63D4"/>
    <w:rsid w:val="008079F5"/>
    <w:rsid w:val="00813026"/>
    <w:rsid w:val="008147AC"/>
    <w:rsid w:val="008269DB"/>
    <w:rsid w:val="00827A44"/>
    <w:rsid w:val="00830263"/>
    <w:rsid w:val="00843B16"/>
    <w:rsid w:val="008604A7"/>
    <w:rsid w:val="0086252A"/>
    <w:rsid w:val="00874F95"/>
    <w:rsid w:val="008766B3"/>
    <w:rsid w:val="008807AE"/>
    <w:rsid w:val="00890D61"/>
    <w:rsid w:val="00897036"/>
    <w:rsid w:val="0089777B"/>
    <w:rsid w:val="008979A9"/>
    <w:rsid w:val="008B1B1D"/>
    <w:rsid w:val="008C3D69"/>
    <w:rsid w:val="008C4F02"/>
    <w:rsid w:val="008E1FE1"/>
    <w:rsid w:val="008E3119"/>
    <w:rsid w:val="008F2A46"/>
    <w:rsid w:val="00905C6E"/>
    <w:rsid w:val="00913B84"/>
    <w:rsid w:val="0092028F"/>
    <w:rsid w:val="0092168D"/>
    <w:rsid w:val="009407C1"/>
    <w:rsid w:val="00954E65"/>
    <w:rsid w:val="009603FD"/>
    <w:rsid w:val="00980D31"/>
    <w:rsid w:val="009A1CC5"/>
    <w:rsid w:val="009A5DFA"/>
    <w:rsid w:val="009B20F4"/>
    <w:rsid w:val="009B529C"/>
    <w:rsid w:val="009C347F"/>
    <w:rsid w:val="009D0EDD"/>
    <w:rsid w:val="009D29BD"/>
    <w:rsid w:val="009D64AA"/>
    <w:rsid w:val="009F68FD"/>
    <w:rsid w:val="00A0443E"/>
    <w:rsid w:val="00A21271"/>
    <w:rsid w:val="00A26FFF"/>
    <w:rsid w:val="00A32EC4"/>
    <w:rsid w:val="00A4470F"/>
    <w:rsid w:val="00A47582"/>
    <w:rsid w:val="00A521A3"/>
    <w:rsid w:val="00A548E4"/>
    <w:rsid w:val="00A75830"/>
    <w:rsid w:val="00A92932"/>
    <w:rsid w:val="00AA48C9"/>
    <w:rsid w:val="00AB409C"/>
    <w:rsid w:val="00AC111A"/>
    <w:rsid w:val="00AC221E"/>
    <w:rsid w:val="00AC3F32"/>
    <w:rsid w:val="00AC6FD1"/>
    <w:rsid w:val="00AD34E2"/>
    <w:rsid w:val="00AE1AB9"/>
    <w:rsid w:val="00AE1B32"/>
    <w:rsid w:val="00AF038A"/>
    <w:rsid w:val="00AF0976"/>
    <w:rsid w:val="00AF17C2"/>
    <w:rsid w:val="00AF6556"/>
    <w:rsid w:val="00B00567"/>
    <w:rsid w:val="00B00C2B"/>
    <w:rsid w:val="00B02197"/>
    <w:rsid w:val="00B02578"/>
    <w:rsid w:val="00B04068"/>
    <w:rsid w:val="00B20411"/>
    <w:rsid w:val="00B306DB"/>
    <w:rsid w:val="00B30C8E"/>
    <w:rsid w:val="00B31E4F"/>
    <w:rsid w:val="00B32FC2"/>
    <w:rsid w:val="00B365AB"/>
    <w:rsid w:val="00B37CAD"/>
    <w:rsid w:val="00B473FC"/>
    <w:rsid w:val="00B54198"/>
    <w:rsid w:val="00B546BD"/>
    <w:rsid w:val="00B630D5"/>
    <w:rsid w:val="00B65CF4"/>
    <w:rsid w:val="00B67969"/>
    <w:rsid w:val="00B74A69"/>
    <w:rsid w:val="00B8084B"/>
    <w:rsid w:val="00B81EC9"/>
    <w:rsid w:val="00B82F4D"/>
    <w:rsid w:val="00B871CE"/>
    <w:rsid w:val="00B934AB"/>
    <w:rsid w:val="00BA0A8A"/>
    <w:rsid w:val="00BC19D3"/>
    <w:rsid w:val="00BC6DE0"/>
    <w:rsid w:val="00BD0690"/>
    <w:rsid w:val="00BD253E"/>
    <w:rsid w:val="00BD31E9"/>
    <w:rsid w:val="00BE442C"/>
    <w:rsid w:val="00BF2C98"/>
    <w:rsid w:val="00C01F29"/>
    <w:rsid w:val="00C01F6C"/>
    <w:rsid w:val="00C07F61"/>
    <w:rsid w:val="00C32098"/>
    <w:rsid w:val="00C46F43"/>
    <w:rsid w:val="00C5240C"/>
    <w:rsid w:val="00C5433F"/>
    <w:rsid w:val="00C56CA4"/>
    <w:rsid w:val="00C5794D"/>
    <w:rsid w:val="00C74426"/>
    <w:rsid w:val="00C7661F"/>
    <w:rsid w:val="00CA1263"/>
    <w:rsid w:val="00CA4EEA"/>
    <w:rsid w:val="00CA70D9"/>
    <w:rsid w:val="00CB7310"/>
    <w:rsid w:val="00CB781B"/>
    <w:rsid w:val="00CC1F2B"/>
    <w:rsid w:val="00CD0406"/>
    <w:rsid w:val="00CD3B2D"/>
    <w:rsid w:val="00CF1FAF"/>
    <w:rsid w:val="00CF5764"/>
    <w:rsid w:val="00D00DCE"/>
    <w:rsid w:val="00D0126A"/>
    <w:rsid w:val="00D060AC"/>
    <w:rsid w:val="00D156A1"/>
    <w:rsid w:val="00D355A9"/>
    <w:rsid w:val="00D3627F"/>
    <w:rsid w:val="00D80C62"/>
    <w:rsid w:val="00D86DFD"/>
    <w:rsid w:val="00D9037C"/>
    <w:rsid w:val="00D9203E"/>
    <w:rsid w:val="00D9431D"/>
    <w:rsid w:val="00DB0AF5"/>
    <w:rsid w:val="00DB37E2"/>
    <w:rsid w:val="00DC0DC2"/>
    <w:rsid w:val="00DC5428"/>
    <w:rsid w:val="00DD57A2"/>
    <w:rsid w:val="00DE1803"/>
    <w:rsid w:val="00DF3550"/>
    <w:rsid w:val="00E05688"/>
    <w:rsid w:val="00E06BFA"/>
    <w:rsid w:val="00E25432"/>
    <w:rsid w:val="00E358D2"/>
    <w:rsid w:val="00E401E0"/>
    <w:rsid w:val="00E82A3D"/>
    <w:rsid w:val="00E85265"/>
    <w:rsid w:val="00EA0537"/>
    <w:rsid w:val="00EA284A"/>
    <w:rsid w:val="00EA6686"/>
    <w:rsid w:val="00EA66CC"/>
    <w:rsid w:val="00EB58E2"/>
    <w:rsid w:val="00EB715C"/>
    <w:rsid w:val="00EC5D1A"/>
    <w:rsid w:val="00EE4C94"/>
    <w:rsid w:val="00F01364"/>
    <w:rsid w:val="00F01C13"/>
    <w:rsid w:val="00F0567D"/>
    <w:rsid w:val="00F10BA9"/>
    <w:rsid w:val="00F1198A"/>
    <w:rsid w:val="00F16C8B"/>
    <w:rsid w:val="00F27BD0"/>
    <w:rsid w:val="00F47CC2"/>
    <w:rsid w:val="00F5587E"/>
    <w:rsid w:val="00F7769F"/>
    <w:rsid w:val="00F77987"/>
    <w:rsid w:val="00F77C59"/>
    <w:rsid w:val="00F86782"/>
    <w:rsid w:val="00FA79C5"/>
    <w:rsid w:val="00FB09F7"/>
    <w:rsid w:val="00FB7040"/>
    <w:rsid w:val="00FB7CE0"/>
    <w:rsid w:val="00FC13BD"/>
    <w:rsid w:val="00FC60CE"/>
    <w:rsid w:val="00FD11B4"/>
    <w:rsid w:val="00FD3DFF"/>
    <w:rsid w:val="00FD5347"/>
    <w:rsid w:val="00FD5C63"/>
    <w:rsid w:val="00FE426C"/>
    <w:rsid w:val="00FF05B6"/>
    <w:rsid w:val="00FF3293"/>
    <w:rsid w:val="00FF4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1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B1EB3"/>
    <w:rPr>
      <w:b/>
      <w:bCs/>
    </w:rPr>
  </w:style>
  <w:style w:type="paragraph" w:styleId="Paragraphedeliste">
    <w:name w:val="List Paragraph"/>
    <w:basedOn w:val="Normal"/>
    <w:uiPriority w:val="1"/>
    <w:qFormat/>
    <w:rsid w:val="002B1EB3"/>
    <w:pPr>
      <w:ind w:left="720"/>
      <w:contextualSpacing/>
    </w:pPr>
  </w:style>
  <w:style w:type="table" w:styleId="Grilledutableau">
    <w:name w:val="Table Grid"/>
    <w:basedOn w:val="TableauNormal"/>
    <w:uiPriority w:val="39"/>
    <w:rsid w:val="00650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E82A3D"/>
    <w:rPr>
      <w:i/>
      <w:iCs/>
    </w:rPr>
  </w:style>
  <w:style w:type="character" w:styleId="Lienhypertexte">
    <w:name w:val="Hyperlink"/>
    <w:basedOn w:val="Policepardfaut"/>
    <w:uiPriority w:val="99"/>
    <w:unhideWhenUsed/>
    <w:rsid w:val="001B5FB8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363FD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63FD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36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3FDC"/>
  </w:style>
  <w:style w:type="paragraph" w:styleId="Pieddepage">
    <w:name w:val="footer"/>
    <w:basedOn w:val="Normal"/>
    <w:link w:val="PieddepageCar"/>
    <w:uiPriority w:val="99"/>
    <w:unhideWhenUsed/>
    <w:rsid w:val="0036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3FDC"/>
  </w:style>
  <w:style w:type="paragraph" w:styleId="Textedebulles">
    <w:name w:val="Balloon Text"/>
    <w:basedOn w:val="Normal"/>
    <w:link w:val="TextedebullesCar"/>
    <w:uiPriority w:val="99"/>
    <w:semiHidden/>
    <w:unhideWhenUsed/>
    <w:rsid w:val="0036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FDC"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BC6DE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BA0A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BA0A8A"/>
    <w:rPr>
      <w:rFonts w:ascii="Arial" w:eastAsia="Arial" w:hAnsi="Arial" w:cs="Arial"/>
      <w:sz w:val="24"/>
      <w:szCs w:val="24"/>
      <w:lang w:val="fr-FR"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unisiaexport.abidjan@aviso.ci" TargetMode="Externa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T\Desktop\Classeur%20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T\Desktop\Classeur%2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lang="de-DE" sz="1400" i="1">
                <a:solidFill>
                  <a:srgbClr val="0070C0"/>
                </a:solidFill>
              </a:defRPr>
            </a:pPr>
            <a:r>
              <a:rPr lang="en-US" sz="1400" b="0" i="0">
                <a:solidFill>
                  <a:schemeClr val="tx1">
                    <a:lumMod val="50000"/>
                    <a:lumOff val="50000"/>
                  </a:schemeClr>
                </a:solidFill>
              </a:rPr>
              <a:t>Situation des importations</a:t>
            </a:r>
          </a:p>
        </c:rich>
      </c:tx>
      <c:layout>
        <c:manualLayout>
          <c:xMode val="edge"/>
          <c:yMode val="edge"/>
          <c:x val="3.3080924590063586E-2"/>
          <c:y val="3.2162958992227285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Feuil1!$B$22</c:f>
              <c:strCache>
                <c:ptCount val="1"/>
                <c:pt idx="0">
                  <c:v>part de marché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Grossistes privés 72%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9B4-4989-99F0-C698DFB933A6}"/>
                </c:ext>
              </c:extLst>
            </c:dLbl>
            <c:dLbl>
              <c:idx val="3"/>
              <c:layout>
                <c:manualLayout>
                  <c:x val="3.3386857253803082E-2"/>
                  <c:y val="-6.9635267350893028E-4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de-DE">
                    <a:solidFill>
                      <a:sysClr val="windowText" lastClr="000000"/>
                    </a:solidFill>
                  </a:defRPr>
                </a:pPr>
                <a:endParaRPr lang="fr-FR"/>
              </a:p>
            </c:txPr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Feuil1!$A$23:$A$26</c:f>
              <c:strCache>
                <c:ptCount val="4"/>
                <c:pt idx="0">
                  <c:v>Grossistes privés</c:v>
                </c:pt>
                <c:pt idx="1">
                  <c:v>NPSP</c:v>
                </c:pt>
                <c:pt idx="2">
                  <c:v>Partenaires</c:v>
                </c:pt>
                <c:pt idx="3">
                  <c:v>Autres</c:v>
                </c:pt>
              </c:strCache>
            </c:strRef>
          </c:cat>
          <c:val>
            <c:numRef>
              <c:f>Feuil1!$B$23:$B$26</c:f>
              <c:numCache>
                <c:formatCode>0%</c:formatCode>
                <c:ptCount val="4"/>
                <c:pt idx="0">
                  <c:v>0.71000000000000063</c:v>
                </c:pt>
                <c:pt idx="1">
                  <c:v>7.0000000000000021E-2</c:v>
                </c:pt>
                <c:pt idx="2">
                  <c:v>0.1</c:v>
                </c:pt>
                <c:pt idx="3">
                  <c:v>0.11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9B4-4989-99F0-C698DFB933A6}"/>
            </c:ext>
          </c:extLst>
        </c:ser>
        <c:dLbls>
          <c:showCatName val="1"/>
          <c:showPercent val="1"/>
        </c:dLbls>
      </c:pie3DChart>
    </c:plotArea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lang="de-DE" sz="1200">
                <a:solidFill>
                  <a:schemeClr val="accent1">
                    <a:lumMod val="75000"/>
                  </a:schemeClr>
                </a:solidFill>
              </a:defRPr>
            </a:pPr>
            <a:r>
              <a:rPr lang="fr-FR" sz="1200" b="0">
                <a:solidFill>
                  <a:schemeClr val="tx1"/>
                </a:solidFill>
              </a:rPr>
              <a:t>Evolution des importations de 2015</a:t>
            </a:r>
            <a:r>
              <a:rPr lang="fr-FR" sz="1200" b="0" baseline="0">
                <a:solidFill>
                  <a:schemeClr val="tx1"/>
                </a:solidFill>
              </a:rPr>
              <a:t> à 2020 en milliards de FCFA</a:t>
            </a:r>
            <a:endParaRPr lang="fr-FR" sz="1200" b="0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12565266841644787"/>
          <c:y val="2.3148148148148147E-2"/>
        </c:manualLayout>
      </c:layout>
    </c:title>
    <c:plotArea>
      <c:layout/>
      <c:scatterChart>
        <c:scatterStyle val="lineMarker"/>
        <c:ser>
          <c:idx val="0"/>
          <c:order val="0"/>
          <c:marker>
            <c:symbol val="none"/>
          </c:marker>
          <c:xVal>
            <c:numRef>
              <c:f>Feuil1!$A$6:$A$11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xVal>
          <c:yVal>
            <c:numRef>
              <c:f>Feuil1!$B$6:$B$11</c:f>
              <c:numCache>
                <c:formatCode>General</c:formatCode>
                <c:ptCount val="6"/>
                <c:pt idx="0">
                  <c:v>174</c:v>
                </c:pt>
                <c:pt idx="1">
                  <c:v>168</c:v>
                </c:pt>
                <c:pt idx="2">
                  <c:v>185</c:v>
                </c:pt>
                <c:pt idx="3">
                  <c:v>191</c:v>
                </c:pt>
                <c:pt idx="4">
                  <c:v>240</c:v>
                </c:pt>
                <c:pt idx="5">
                  <c:v>320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0-B4BF-4916-9DEF-E66FFF7D9A00}"/>
            </c:ext>
          </c:extLst>
        </c:ser>
        <c:axId val="133870336"/>
        <c:axId val="139233152"/>
      </c:scatterChart>
      <c:valAx>
        <c:axId val="1338703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de-DE"/>
                </a:pPr>
                <a:r>
                  <a:rPr lang="fr-FR"/>
                  <a:t>année</a:t>
                </a:r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lang="de-DE"/>
            </a:pPr>
            <a:endParaRPr lang="fr-FR"/>
          </a:p>
        </c:txPr>
        <c:crossAx val="139233152"/>
        <c:crosses val="autoZero"/>
        <c:crossBetween val="midCat"/>
      </c:valAx>
      <c:valAx>
        <c:axId val="13923315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de-DE"/>
                </a:pPr>
                <a:r>
                  <a:rPr lang="en-US"/>
                  <a:t>importation</a:t>
                </a:r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lang="de-DE"/>
            </a:pPr>
            <a:endParaRPr lang="fr-FR"/>
          </a:p>
        </c:txPr>
        <c:crossAx val="133870336"/>
        <c:crosses val="autoZero"/>
        <c:crossBetween val="midCat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C1903-3B6F-4856-A38E-84136010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983</Words>
  <Characters>5412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RCT</cp:lastModifiedBy>
  <cp:revision>18</cp:revision>
  <dcterms:created xsi:type="dcterms:W3CDTF">2020-07-09T19:57:00Z</dcterms:created>
  <dcterms:modified xsi:type="dcterms:W3CDTF">2020-07-14T10:08:00Z</dcterms:modified>
</cp:coreProperties>
</file>